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C6" w:rsidRPr="002076FA" w:rsidRDefault="007B31C6" w:rsidP="007B31C6">
      <w:pPr>
        <w:spacing w:after="0" w:line="240" w:lineRule="auto"/>
        <w:rPr>
          <w:rFonts w:ascii="Arial Narrow" w:hAnsi="Arial Narrow"/>
          <w:color w:val="000000" w:themeColor="text1"/>
          <w:sz w:val="24"/>
          <w:szCs w:val="24"/>
        </w:rPr>
      </w:pPr>
      <w:r w:rsidRPr="002076FA">
        <w:rPr>
          <w:rFonts w:ascii="Arial Narrow" w:hAnsi="Arial Narrow"/>
          <w:color w:val="000000" w:themeColor="text1"/>
          <w:sz w:val="24"/>
          <w:szCs w:val="24"/>
        </w:rPr>
        <w:t xml:space="preserve">Bogotá D.C., </w:t>
      </w:r>
      <w:r w:rsidR="002238A0">
        <w:rPr>
          <w:rFonts w:ascii="Arial Narrow" w:hAnsi="Arial Narrow"/>
          <w:color w:val="000000" w:themeColor="text1"/>
          <w:sz w:val="24"/>
          <w:szCs w:val="24"/>
        </w:rPr>
        <w:t>23</w:t>
      </w:r>
      <w:bookmarkStart w:id="0" w:name="_GoBack"/>
      <w:bookmarkEnd w:id="0"/>
      <w:r w:rsidR="002238A0">
        <w:rPr>
          <w:rFonts w:ascii="Arial Narrow" w:hAnsi="Arial Narrow"/>
          <w:color w:val="000000" w:themeColor="text1"/>
          <w:sz w:val="24"/>
          <w:szCs w:val="24"/>
        </w:rPr>
        <w:t xml:space="preserve"> de </w:t>
      </w:r>
      <w:r w:rsidRPr="002076FA">
        <w:rPr>
          <w:rFonts w:ascii="Arial Narrow" w:hAnsi="Arial Narrow"/>
          <w:color w:val="000000" w:themeColor="text1"/>
          <w:sz w:val="24"/>
          <w:szCs w:val="24"/>
        </w:rPr>
        <w:t>julio de 2019</w:t>
      </w:r>
    </w:p>
    <w:p w:rsidR="007B31C6" w:rsidRPr="002076FA" w:rsidRDefault="007B31C6" w:rsidP="007B31C6">
      <w:pPr>
        <w:spacing w:after="0" w:line="240" w:lineRule="auto"/>
        <w:rPr>
          <w:rFonts w:ascii="Arial Narrow" w:hAnsi="Arial Narrow"/>
          <w:color w:val="000000" w:themeColor="text1"/>
          <w:sz w:val="24"/>
          <w:szCs w:val="24"/>
        </w:rPr>
      </w:pPr>
    </w:p>
    <w:p w:rsidR="007B31C6" w:rsidRPr="002076FA" w:rsidRDefault="007B31C6" w:rsidP="007B31C6">
      <w:pPr>
        <w:spacing w:after="0" w:line="240" w:lineRule="auto"/>
        <w:rPr>
          <w:rFonts w:ascii="Arial Narrow" w:hAnsi="Arial Narrow"/>
          <w:color w:val="000000" w:themeColor="text1"/>
          <w:sz w:val="24"/>
          <w:szCs w:val="24"/>
        </w:rPr>
      </w:pPr>
      <w:r w:rsidRPr="002076FA">
        <w:rPr>
          <w:rFonts w:ascii="Arial Narrow" w:hAnsi="Arial Narrow"/>
          <w:color w:val="000000" w:themeColor="text1"/>
          <w:sz w:val="24"/>
          <w:szCs w:val="24"/>
        </w:rPr>
        <w:t>Doctor</w:t>
      </w:r>
    </w:p>
    <w:p w:rsidR="007B31C6" w:rsidRPr="002076FA" w:rsidRDefault="007B31C6" w:rsidP="007B31C6">
      <w:pPr>
        <w:spacing w:after="0" w:line="240" w:lineRule="auto"/>
        <w:rPr>
          <w:rFonts w:ascii="Arial Narrow" w:eastAsia="Times New Roman" w:hAnsi="Arial Narrow"/>
          <w:b/>
          <w:color w:val="000000" w:themeColor="text1"/>
          <w:sz w:val="24"/>
          <w:szCs w:val="24"/>
          <w:lang w:eastAsia="es-CO"/>
        </w:rPr>
      </w:pPr>
      <w:r w:rsidRPr="002076FA">
        <w:rPr>
          <w:rFonts w:ascii="Arial Narrow" w:eastAsia="Times New Roman" w:hAnsi="Arial Narrow" w:cs="Arial"/>
          <w:b/>
          <w:bCs/>
          <w:color w:val="000000" w:themeColor="text1"/>
          <w:sz w:val="24"/>
          <w:szCs w:val="24"/>
          <w:lang w:eastAsia="es-CO"/>
        </w:rPr>
        <w:t>GREGORIO ELJACH PACHECO</w:t>
      </w:r>
    </w:p>
    <w:p w:rsidR="007B31C6" w:rsidRPr="002076FA" w:rsidRDefault="007B31C6" w:rsidP="007B31C6">
      <w:pPr>
        <w:spacing w:after="0" w:line="240" w:lineRule="auto"/>
        <w:rPr>
          <w:rFonts w:ascii="Arial Narrow" w:hAnsi="Arial Narrow"/>
          <w:b/>
          <w:color w:val="000000" w:themeColor="text1"/>
          <w:sz w:val="24"/>
          <w:szCs w:val="24"/>
        </w:rPr>
      </w:pPr>
      <w:r w:rsidRPr="002076FA">
        <w:rPr>
          <w:rFonts w:ascii="Arial Narrow" w:hAnsi="Arial Narrow"/>
          <w:b/>
          <w:color w:val="000000" w:themeColor="text1"/>
          <w:sz w:val="24"/>
          <w:szCs w:val="24"/>
        </w:rPr>
        <w:t>Secretario General</w:t>
      </w:r>
    </w:p>
    <w:p w:rsidR="007B31C6" w:rsidRPr="002076FA" w:rsidRDefault="007B31C6" w:rsidP="007B31C6">
      <w:pPr>
        <w:spacing w:after="0" w:line="240" w:lineRule="auto"/>
        <w:rPr>
          <w:rFonts w:ascii="Arial Narrow" w:hAnsi="Arial Narrow"/>
          <w:b/>
          <w:color w:val="000000" w:themeColor="text1"/>
          <w:sz w:val="24"/>
          <w:szCs w:val="24"/>
        </w:rPr>
      </w:pPr>
      <w:r w:rsidRPr="002076FA">
        <w:rPr>
          <w:rFonts w:ascii="Arial Narrow" w:hAnsi="Arial Narrow"/>
          <w:b/>
          <w:color w:val="000000" w:themeColor="text1"/>
          <w:sz w:val="24"/>
          <w:szCs w:val="24"/>
        </w:rPr>
        <w:t>Senado de la República</w:t>
      </w:r>
    </w:p>
    <w:p w:rsidR="007B31C6" w:rsidRPr="002076FA" w:rsidRDefault="007B31C6" w:rsidP="007B31C6">
      <w:pPr>
        <w:spacing w:after="0" w:line="240" w:lineRule="auto"/>
        <w:rPr>
          <w:rFonts w:ascii="Arial Narrow" w:hAnsi="Arial Narrow"/>
          <w:color w:val="000000" w:themeColor="text1"/>
          <w:sz w:val="24"/>
          <w:szCs w:val="24"/>
        </w:rPr>
      </w:pPr>
      <w:r w:rsidRPr="002076FA">
        <w:rPr>
          <w:rFonts w:ascii="Arial Narrow" w:hAnsi="Arial Narrow"/>
          <w:color w:val="000000" w:themeColor="text1"/>
          <w:sz w:val="24"/>
          <w:szCs w:val="24"/>
        </w:rPr>
        <w:t>Ciudad</w:t>
      </w:r>
    </w:p>
    <w:p w:rsidR="007B31C6" w:rsidRPr="002076FA" w:rsidRDefault="007B31C6" w:rsidP="007B31C6">
      <w:pPr>
        <w:spacing w:after="0" w:line="240" w:lineRule="auto"/>
        <w:rPr>
          <w:rFonts w:ascii="Arial Narrow" w:hAnsi="Arial Narrow"/>
          <w:color w:val="000000" w:themeColor="text1"/>
          <w:sz w:val="24"/>
          <w:szCs w:val="24"/>
        </w:rPr>
      </w:pPr>
    </w:p>
    <w:p w:rsidR="007B31C6" w:rsidRPr="007B0C83" w:rsidRDefault="007B31C6" w:rsidP="007B0C83">
      <w:pPr>
        <w:ind w:left="1418"/>
        <w:rPr>
          <w:rFonts w:ascii="Arial Narrow" w:eastAsia="Arial Narrow" w:hAnsi="Arial Narrow" w:cs="Arial Narrow"/>
          <w:b/>
          <w:i/>
          <w:sz w:val="24"/>
          <w:szCs w:val="24"/>
        </w:rPr>
      </w:pPr>
      <w:r w:rsidRPr="007B0C83">
        <w:rPr>
          <w:rFonts w:ascii="Arial Narrow" w:hAnsi="Arial Narrow"/>
          <w:b/>
          <w:bCs/>
          <w:color w:val="000000" w:themeColor="text1"/>
          <w:sz w:val="24"/>
          <w:szCs w:val="24"/>
        </w:rPr>
        <w:t xml:space="preserve">Asunto: Radicación de Proyecto de Ley </w:t>
      </w:r>
      <w:r w:rsidRPr="007B0C83">
        <w:rPr>
          <w:rFonts w:ascii="Arial Narrow" w:hAnsi="Arial Narrow"/>
          <w:b/>
          <w:bCs/>
          <w:i/>
          <w:color w:val="000000" w:themeColor="text1"/>
          <w:sz w:val="24"/>
          <w:szCs w:val="24"/>
        </w:rPr>
        <w:t>“</w:t>
      </w:r>
      <w:r w:rsidRPr="007B0C83">
        <w:rPr>
          <w:rFonts w:ascii="Arial Narrow" w:eastAsia="Arial Narrow" w:hAnsi="Arial Narrow" w:cs="Arial Narrow"/>
          <w:b/>
          <w:i/>
          <w:sz w:val="24"/>
          <w:szCs w:val="24"/>
        </w:rPr>
        <w:t>Por medio de la cual se modifica la ley 1780 de 2016 para introducir medidas afirmativas a favor del empleo y el emprendimiento de las mujeres jóvenes entre los 18 y los 28 años de edad”</w:t>
      </w:r>
      <w:r w:rsidR="007B0C83">
        <w:rPr>
          <w:rFonts w:ascii="Arial Narrow" w:eastAsia="Arial Narrow" w:hAnsi="Arial Narrow" w:cs="Arial Narrow"/>
          <w:b/>
          <w:i/>
          <w:sz w:val="24"/>
          <w:szCs w:val="24"/>
        </w:rPr>
        <w:t>.</w:t>
      </w:r>
    </w:p>
    <w:p w:rsidR="007B31C6" w:rsidRPr="002076FA" w:rsidRDefault="007B31C6" w:rsidP="007B31C6">
      <w:pPr>
        <w:spacing w:after="0" w:line="240" w:lineRule="auto"/>
        <w:jc w:val="both"/>
        <w:rPr>
          <w:rFonts w:ascii="Arial Narrow" w:hAnsi="Arial Narrow"/>
          <w:bCs/>
          <w:color w:val="000000" w:themeColor="text1"/>
          <w:sz w:val="24"/>
          <w:szCs w:val="24"/>
        </w:rPr>
      </w:pPr>
    </w:p>
    <w:p w:rsidR="007B31C6" w:rsidRDefault="007B31C6" w:rsidP="007B31C6">
      <w:pPr>
        <w:spacing w:after="0" w:line="240" w:lineRule="auto"/>
        <w:rPr>
          <w:rFonts w:ascii="Arial Narrow" w:hAnsi="Arial Narrow"/>
          <w:color w:val="000000" w:themeColor="text1"/>
          <w:sz w:val="24"/>
          <w:szCs w:val="24"/>
        </w:rPr>
      </w:pPr>
    </w:p>
    <w:p w:rsidR="007B31C6" w:rsidRPr="002076FA" w:rsidRDefault="007B31C6" w:rsidP="007B31C6">
      <w:pPr>
        <w:spacing w:after="0" w:line="240" w:lineRule="auto"/>
        <w:rPr>
          <w:rFonts w:ascii="Arial Narrow" w:hAnsi="Arial Narrow"/>
          <w:color w:val="000000" w:themeColor="text1"/>
          <w:sz w:val="24"/>
          <w:szCs w:val="24"/>
        </w:rPr>
      </w:pPr>
      <w:r w:rsidRPr="002076FA">
        <w:rPr>
          <w:rFonts w:ascii="Arial Narrow" w:hAnsi="Arial Narrow"/>
          <w:color w:val="000000" w:themeColor="text1"/>
          <w:sz w:val="24"/>
          <w:szCs w:val="24"/>
        </w:rPr>
        <w:t>Respetado Secretario General:</w:t>
      </w:r>
    </w:p>
    <w:p w:rsidR="007B31C6" w:rsidRDefault="007B31C6" w:rsidP="007B31C6">
      <w:pPr>
        <w:spacing w:after="0" w:line="240" w:lineRule="auto"/>
        <w:jc w:val="both"/>
        <w:rPr>
          <w:rFonts w:ascii="Arial Narrow" w:hAnsi="Arial Narrow"/>
          <w:color w:val="000000" w:themeColor="text1"/>
          <w:sz w:val="24"/>
          <w:szCs w:val="24"/>
        </w:rPr>
      </w:pPr>
    </w:p>
    <w:p w:rsidR="007B31C6" w:rsidRDefault="007B31C6" w:rsidP="007B31C6">
      <w:pPr>
        <w:spacing w:after="0" w:line="240" w:lineRule="auto"/>
        <w:jc w:val="both"/>
        <w:rPr>
          <w:rFonts w:ascii="Arial Narrow" w:hAnsi="Arial Narrow"/>
          <w:color w:val="000000" w:themeColor="text1"/>
          <w:sz w:val="24"/>
          <w:szCs w:val="24"/>
        </w:rPr>
      </w:pPr>
      <w:r w:rsidRPr="002076FA">
        <w:rPr>
          <w:rFonts w:ascii="Arial Narrow" w:hAnsi="Arial Narrow"/>
          <w:color w:val="000000" w:themeColor="text1"/>
          <w:sz w:val="24"/>
          <w:szCs w:val="24"/>
        </w:rPr>
        <w:t>En cumplimiento de nuestro deber constitucional y legal, y particular actuando en consecuencia con lo establecido en la Ley 5ª de 1992, en mi calidad de Congresista de la República, radico ante su despacho, para que s</w:t>
      </w:r>
      <w:r>
        <w:rPr>
          <w:rFonts w:ascii="Arial Narrow" w:hAnsi="Arial Narrow"/>
          <w:color w:val="000000" w:themeColor="text1"/>
          <w:sz w:val="24"/>
          <w:szCs w:val="24"/>
        </w:rPr>
        <w:t>e inicie el trámite legislativo correspondiente: el siguiente P</w:t>
      </w:r>
      <w:r w:rsidRPr="002076FA">
        <w:rPr>
          <w:rFonts w:ascii="Arial Narrow" w:hAnsi="Arial Narrow"/>
          <w:color w:val="000000" w:themeColor="text1"/>
          <w:sz w:val="24"/>
          <w:szCs w:val="24"/>
        </w:rPr>
        <w:t xml:space="preserve">royecto </w:t>
      </w:r>
      <w:r>
        <w:rPr>
          <w:rFonts w:ascii="Arial Narrow" w:hAnsi="Arial Narrow"/>
          <w:color w:val="000000" w:themeColor="text1"/>
          <w:sz w:val="24"/>
          <w:szCs w:val="24"/>
        </w:rPr>
        <w:t>de L</w:t>
      </w:r>
      <w:r w:rsidRPr="002076FA">
        <w:rPr>
          <w:rFonts w:ascii="Arial Narrow" w:hAnsi="Arial Narrow"/>
          <w:color w:val="000000" w:themeColor="text1"/>
          <w:sz w:val="24"/>
          <w:szCs w:val="24"/>
        </w:rPr>
        <w:t>ey</w:t>
      </w:r>
      <w:r>
        <w:rPr>
          <w:rFonts w:ascii="Arial Narrow" w:hAnsi="Arial Narrow"/>
          <w:color w:val="000000" w:themeColor="text1"/>
          <w:sz w:val="24"/>
          <w:szCs w:val="24"/>
        </w:rPr>
        <w:t xml:space="preserve"> </w:t>
      </w:r>
    </w:p>
    <w:p w:rsidR="007B31C6" w:rsidRPr="002076FA" w:rsidRDefault="007B31C6" w:rsidP="007B31C6">
      <w:pPr>
        <w:spacing w:after="0" w:line="240" w:lineRule="auto"/>
        <w:jc w:val="both"/>
        <w:rPr>
          <w:rFonts w:ascii="Arial Narrow" w:hAnsi="Arial Narrow"/>
          <w:color w:val="000000" w:themeColor="text1"/>
          <w:sz w:val="24"/>
          <w:szCs w:val="24"/>
        </w:rPr>
      </w:pPr>
    </w:p>
    <w:p w:rsidR="007B31C6" w:rsidRPr="00C5722F" w:rsidRDefault="007B31C6" w:rsidP="007B31C6">
      <w:pPr>
        <w:jc w:val="both"/>
        <w:rPr>
          <w:rFonts w:ascii="Arial Narrow" w:eastAsia="Arial Narrow" w:hAnsi="Arial Narrow" w:cs="Arial Narrow"/>
          <w:b/>
          <w:i/>
          <w:sz w:val="24"/>
          <w:szCs w:val="24"/>
        </w:rPr>
      </w:pPr>
      <w:r>
        <w:rPr>
          <w:rFonts w:ascii="Arial Narrow" w:hAnsi="Arial Narrow"/>
          <w:color w:val="000000" w:themeColor="text1"/>
          <w:sz w:val="24"/>
          <w:szCs w:val="24"/>
        </w:rPr>
        <w:t>Proyecto de L</w:t>
      </w:r>
      <w:r w:rsidRPr="002076FA">
        <w:rPr>
          <w:rFonts w:ascii="Arial Narrow" w:hAnsi="Arial Narrow"/>
          <w:color w:val="000000" w:themeColor="text1"/>
          <w:sz w:val="24"/>
          <w:szCs w:val="24"/>
        </w:rPr>
        <w:t>ey</w:t>
      </w:r>
      <w:r>
        <w:rPr>
          <w:rFonts w:ascii="Arial Narrow" w:hAnsi="Arial Narrow"/>
          <w:color w:val="000000" w:themeColor="text1"/>
          <w:sz w:val="24"/>
          <w:szCs w:val="24"/>
        </w:rPr>
        <w:t xml:space="preserve"> </w:t>
      </w:r>
      <w:r w:rsidRPr="00C5722F">
        <w:rPr>
          <w:rFonts w:ascii="Arial Narrow" w:hAnsi="Arial Narrow"/>
          <w:bCs/>
          <w:i/>
          <w:color w:val="000000" w:themeColor="text1"/>
          <w:sz w:val="24"/>
          <w:szCs w:val="24"/>
        </w:rPr>
        <w:t>“</w:t>
      </w:r>
      <w:r w:rsidRPr="00C5722F">
        <w:rPr>
          <w:rFonts w:ascii="Arial Narrow" w:eastAsia="Arial Narrow" w:hAnsi="Arial Narrow" w:cs="Arial Narrow"/>
          <w:i/>
          <w:sz w:val="24"/>
          <w:szCs w:val="24"/>
        </w:rPr>
        <w:t>Por medio de la cual se modifica la ley 1780 de 2016 para introducir medidas afirmativas a favor del empleo y el emprendimiento de las mujeres jóvenes entre los 18 y los 28 años de edad”</w:t>
      </w:r>
    </w:p>
    <w:p w:rsidR="007B31C6" w:rsidRPr="002076FA" w:rsidRDefault="007B31C6" w:rsidP="007B31C6">
      <w:pPr>
        <w:spacing w:after="0" w:line="240" w:lineRule="auto"/>
        <w:jc w:val="both"/>
        <w:rPr>
          <w:rFonts w:ascii="Arial Narrow" w:hAnsi="Arial Narrow"/>
          <w:color w:val="000000" w:themeColor="text1"/>
          <w:sz w:val="24"/>
          <w:szCs w:val="24"/>
        </w:rPr>
      </w:pPr>
    </w:p>
    <w:p w:rsidR="007B31C6" w:rsidRPr="002076FA" w:rsidRDefault="007B31C6" w:rsidP="007B31C6">
      <w:pPr>
        <w:spacing w:after="0" w:line="240" w:lineRule="auto"/>
        <w:jc w:val="both"/>
        <w:rPr>
          <w:rFonts w:ascii="Arial Narrow" w:hAnsi="Arial Narrow"/>
          <w:color w:val="000000" w:themeColor="text1"/>
          <w:sz w:val="24"/>
          <w:szCs w:val="24"/>
        </w:rPr>
      </w:pPr>
    </w:p>
    <w:p w:rsidR="007B31C6" w:rsidRPr="002076FA" w:rsidRDefault="007B31C6" w:rsidP="007B31C6">
      <w:pPr>
        <w:spacing w:after="0" w:line="240" w:lineRule="auto"/>
        <w:jc w:val="both"/>
        <w:rPr>
          <w:rFonts w:ascii="Arial Narrow" w:hAnsi="Arial Narrow"/>
          <w:color w:val="000000" w:themeColor="text1"/>
          <w:sz w:val="24"/>
          <w:szCs w:val="24"/>
          <w:lang w:val="es-ES"/>
        </w:rPr>
      </w:pPr>
      <w:r w:rsidRPr="002076FA">
        <w:rPr>
          <w:rFonts w:ascii="Arial Narrow" w:hAnsi="Arial Narrow"/>
          <w:color w:val="000000" w:themeColor="text1"/>
          <w:sz w:val="24"/>
          <w:szCs w:val="24"/>
        </w:rPr>
        <w:t xml:space="preserve">Cordialmente, </w:t>
      </w:r>
    </w:p>
    <w:p w:rsidR="007B31C6" w:rsidRDefault="007B31C6" w:rsidP="007B31C6">
      <w:pPr>
        <w:spacing w:after="0" w:line="240" w:lineRule="auto"/>
        <w:jc w:val="both"/>
        <w:rPr>
          <w:rFonts w:ascii="Arial Narrow" w:hAnsi="Arial Narrow"/>
          <w:color w:val="000000" w:themeColor="text1"/>
          <w:sz w:val="24"/>
          <w:szCs w:val="24"/>
        </w:rPr>
      </w:pPr>
    </w:p>
    <w:p w:rsidR="007A5000" w:rsidRDefault="007A5000" w:rsidP="007B31C6">
      <w:pPr>
        <w:spacing w:after="0" w:line="240" w:lineRule="auto"/>
        <w:jc w:val="both"/>
        <w:rPr>
          <w:rFonts w:ascii="Arial Narrow" w:hAnsi="Arial Narrow"/>
          <w:color w:val="000000" w:themeColor="text1"/>
          <w:sz w:val="24"/>
          <w:szCs w:val="24"/>
        </w:rPr>
      </w:pPr>
    </w:p>
    <w:p w:rsidR="007A5000" w:rsidRDefault="007A5000" w:rsidP="007B31C6">
      <w:pPr>
        <w:spacing w:after="0" w:line="240" w:lineRule="auto"/>
        <w:jc w:val="both"/>
        <w:rPr>
          <w:rFonts w:ascii="Arial Narrow" w:hAnsi="Arial Narrow"/>
          <w:color w:val="000000" w:themeColor="text1"/>
          <w:sz w:val="24"/>
          <w:szCs w:val="24"/>
        </w:rPr>
      </w:pPr>
    </w:p>
    <w:p w:rsidR="007A5000" w:rsidRPr="002076FA" w:rsidRDefault="007A5000" w:rsidP="007B31C6">
      <w:pPr>
        <w:spacing w:after="0" w:line="240" w:lineRule="auto"/>
        <w:jc w:val="both"/>
        <w:rPr>
          <w:rFonts w:ascii="Arial Narrow" w:hAnsi="Arial Narrow"/>
          <w:color w:val="000000" w:themeColor="text1"/>
          <w:sz w:val="24"/>
          <w:szCs w:val="24"/>
        </w:rPr>
      </w:pPr>
    </w:p>
    <w:p w:rsidR="007B31C6" w:rsidRDefault="007B31C6" w:rsidP="007B31C6">
      <w:pPr>
        <w:spacing w:after="0" w:line="240" w:lineRule="auto"/>
        <w:jc w:val="both"/>
        <w:rPr>
          <w:rFonts w:ascii="Arial Narrow" w:hAnsi="Arial Narrow"/>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sidRPr="00C5722F">
              <w:rPr>
                <w:rFonts w:ascii="Arial Narrow" w:hAnsi="Arial Narrow"/>
                <w:b/>
                <w:sz w:val="24"/>
                <w:szCs w:val="24"/>
              </w:rPr>
              <w:t>VICTORIA SANDINO SIMANCA HERRERA</w:t>
            </w:r>
          </w:p>
          <w:p w:rsidR="002238A0" w:rsidRDefault="002238A0" w:rsidP="007A5000">
            <w:pPr>
              <w:spacing w:after="0"/>
              <w:jc w:val="center"/>
              <w:rPr>
                <w:rFonts w:ascii="Arial Narrow" w:hAnsi="Arial Narrow"/>
                <w:sz w:val="24"/>
                <w:szCs w:val="24"/>
              </w:rPr>
            </w:pPr>
            <w:r>
              <w:rPr>
                <w:rFonts w:ascii="Arial Narrow" w:hAnsi="Arial Narrow"/>
                <w:sz w:val="24"/>
                <w:szCs w:val="24"/>
              </w:rPr>
              <w:t>Senadora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7A5000" w:rsidRPr="00C5722F" w:rsidRDefault="007A5000" w:rsidP="007A5000">
            <w:pPr>
              <w:spacing w:after="0"/>
              <w:jc w:val="center"/>
              <w:rPr>
                <w:rFonts w:ascii="Arial Narrow" w:hAnsi="Arial Narrow"/>
                <w:b/>
                <w:sz w:val="24"/>
                <w:szCs w:val="24"/>
              </w:rPr>
            </w:pPr>
            <w:r>
              <w:rPr>
                <w:rFonts w:ascii="Arial Narrow" w:hAnsi="Arial Narrow"/>
                <w:b/>
                <w:sz w:val="24"/>
                <w:szCs w:val="24"/>
              </w:rPr>
              <w:t>PABLO CATATUMBO TORRES</w:t>
            </w:r>
          </w:p>
          <w:p w:rsidR="002238A0" w:rsidRDefault="002238A0" w:rsidP="007A5000">
            <w:pPr>
              <w:jc w:val="center"/>
              <w:rPr>
                <w:rFonts w:ascii="Arial Narrow" w:hAnsi="Arial Narrow"/>
                <w:sz w:val="24"/>
                <w:szCs w:val="24"/>
              </w:rPr>
            </w:pPr>
            <w:r>
              <w:rPr>
                <w:rFonts w:ascii="Arial Narrow" w:hAnsi="Arial Narrow"/>
                <w:sz w:val="24"/>
                <w:szCs w:val="24"/>
              </w:rPr>
              <w:t>S</w:t>
            </w:r>
            <w:r w:rsidR="007A5000">
              <w:rPr>
                <w:rFonts w:ascii="Arial Narrow" w:hAnsi="Arial Narrow"/>
                <w:sz w:val="24"/>
                <w:szCs w:val="24"/>
              </w:rPr>
              <w:t>enador</w:t>
            </w:r>
            <w:r>
              <w:rPr>
                <w:rFonts w:ascii="Arial Narrow" w:hAnsi="Arial Narrow"/>
                <w:sz w:val="24"/>
                <w:szCs w:val="24"/>
              </w:rPr>
              <w:t xml:space="preserve">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7A5000" w:rsidRPr="007A5000" w:rsidRDefault="007A5000" w:rsidP="007A5000">
            <w:pPr>
              <w:spacing w:after="0" w:line="240" w:lineRule="auto"/>
              <w:contextualSpacing/>
              <w:jc w:val="center"/>
              <w:rPr>
                <w:rFonts w:ascii="Arial Narrow" w:hAnsi="Arial Narrow"/>
                <w:b/>
                <w:sz w:val="24"/>
                <w:szCs w:val="24"/>
              </w:rPr>
            </w:pPr>
            <w:r w:rsidRPr="007A5000">
              <w:rPr>
                <w:rFonts w:ascii="Arial Narrow" w:hAnsi="Arial Narrow"/>
                <w:b/>
                <w:sz w:val="24"/>
                <w:szCs w:val="24"/>
              </w:rPr>
              <w:t>CRISELDA LOBO</w:t>
            </w:r>
          </w:p>
          <w:p w:rsidR="002238A0" w:rsidRDefault="002238A0" w:rsidP="007A5000">
            <w:pPr>
              <w:spacing w:after="0" w:line="240" w:lineRule="auto"/>
              <w:contextualSpacing/>
              <w:jc w:val="center"/>
              <w:rPr>
                <w:rFonts w:ascii="Arial Narrow" w:hAnsi="Arial Narrow"/>
                <w:sz w:val="24"/>
                <w:szCs w:val="24"/>
              </w:rPr>
            </w:pPr>
            <w:r>
              <w:rPr>
                <w:rFonts w:ascii="Arial Narrow" w:hAnsi="Arial Narrow"/>
                <w:sz w:val="24"/>
                <w:szCs w:val="24"/>
              </w:rPr>
              <w:t>Senador</w:t>
            </w:r>
            <w:r w:rsidR="007A5000">
              <w:rPr>
                <w:rFonts w:ascii="Arial Narrow" w:hAnsi="Arial Narrow"/>
                <w:sz w:val="24"/>
                <w:szCs w:val="24"/>
              </w:rPr>
              <w:t>a</w:t>
            </w:r>
            <w:r>
              <w:rPr>
                <w:rFonts w:ascii="Arial Narrow" w:hAnsi="Arial Narrow"/>
                <w:sz w:val="24"/>
                <w:szCs w:val="24"/>
              </w:rPr>
              <w:t xml:space="preserve">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JULIAN GALLO</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JAIRO CALA</w:t>
            </w:r>
          </w:p>
          <w:p w:rsidR="002238A0" w:rsidRDefault="002238A0" w:rsidP="007A5000">
            <w:pPr>
              <w:spacing w:after="0"/>
              <w:jc w:val="center"/>
              <w:rPr>
                <w:rFonts w:ascii="Arial Narrow" w:hAnsi="Arial Narrow"/>
                <w:b/>
                <w:sz w:val="24"/>
                <w:szCs w:val="24"/>
              </w:rPr>
            </w:pPr>
            <w:r>
              <w:rPr>
                <w:rFonts w:ascii="Arial Narrow" w:hAnsi="Arial Narrow"/>
                <w:sz w:val="24"/>
                <w:szCs w:val="24"/>
              </w:rPr>
              <w:t>Representante a la Cámara</w:t>
            </w: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OLMEDO RUIZ</w:t>
            </w:r>
          </w:p>
          <w:p w:rsidR="002238A0" w:rsidRDefault="002238A0" w:rsidP="007A5000">
            <w:pPr>
              <w:spacing w:after="0"/>
              <w:jc w:val="center"/>
              <w:rPr>
                <w:rFonts w:ascii="Arial Narrow" w:hAnsi="Arial Narrow"/>
                <w:b/>
                <w:sz w:val="24"/>
                <w:szCs w:val="24"/>
              </w:rPr>
            </w:pPr>
            <w:r>
              <w:rPr>
                <w:rFonts w:ascii="Arial Narrow" w:hAnsi="Arial Narrow"/>
                <w:sz w:val="24"/>
                <w:szCs w:val="24"/>
              </w:rPr>
              <w:t>Representante a la Cámara</w:t>
            </w:r>
          </w:p>
        </w:tc>
      </w:tr>
      <w:tr w:rsidR="002238A0" w:rsidTr="007A5000">
        <w:tc>
          <w:tcPr>
            <w:tcW w:w="4414" w:type="dxa"/>
          </w:tcPr>
          <w:p w:rsidR="002238A0" w:rsidRDefault="002238A0" w:rsidP="007A500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CARLOS CARREÑO</w:t>
            </w:r>
          </w:p>
          <w:p w:rsidR="002238A0" w:rsidRDefault="002238A0" w:rsidP="007A5000">
            <w:pPr>
              <w:spacing w:after="0"/>
              <w:jc w:val="center"/>
              <w:rPr>
                <w:rFonts w:ascii="Arial Narrow" w:hAnsi="Arial Narrow"/>
                <w:b/>
                <w:sz w:val="24"/>
                <w:szCs w:val="24"/>
              </w:rPr>
            </w:pPr>
            <w:r>
              <w:rPr>
                <w:rFonts w:ascii="Arial Narrow" w:hAnsi="Arial Narrow"/>
                <w:sz w:val="24"/>
                <w:szCs w:val="24"/>
              </w:rPr>
              <w:t>Representante a la Cámara</w:t>
            </w:r>
          </w:p>
          <w:p w:rsidR="002238A0" w:rsidRDefault="002238A0" w:rsidP="007A5000">
            <w:pPr>
              <w:spacing w:after="0"/>
              <w:jc w:val="center"/>
              <w:rPr>
                <w:rFonts w:ascii="Arial Narrow" w:hAnsi="Arial Narrow"/>
                <w:b/>
                <w:sz w:val="24"/>
                <w:szCs w:val="24"/>
              </w:rPr>
            </w:pPr>
          </w:p>
        </w:tc>
        <w:tc>
          <w:tcPr>
            <w:tcW w:w="4414" w:type="dxa"/>
          </w:tcPr>
          <w:p w:rsidR="002238A0" w:rsidRDefault="002238A0" w:rsidP="007A500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LUIS ALBERTO ALBAN</w:t>
            </w:r>
          </w:p>
          <w:p w:rsidR="002238A0" w:rsidRDefault="002238A0" w:rsidP="007A5000">
            <w:pPr>
              <w:spacing w:after="0"/>
              <w:jc w:val="center"/>
              <w:rPr>
                <w:rFonts w:ascii="Arial Narrow" w:hAnsi="Arial Narrow"/>
                <w:b/>
                <w:sz w:val="24"/>
                <w:szCs w:val="24"/>
              </w:rPr>
            </w:pPr>
            <w:r>
              <w:rPr>
                <w:rFonts w:ascii="Arial Narrow" w:hAnsi="Arial Narrow"/>
                <w:sz w:val="24"/>
                <w:szCs w:val="24"/>
              </w:rPr>
              <w:t>Representante a la Cámara</w:t>
            </w:r>
          </w:p>
          <w:p w:rsidR="002238A0" w:rsidRDefault="002238A0" w:rsidP="007A5000">
            <w:pPr>
              <w:spacing w:after="0"/>
              <w:rPr>
                <w:rFonts w:ascii="Arial Narrow" w:hAnsi="Arial Narrow"/>
                <w:b/>
                <w:sz w:val="24"/>
                <w:szCs w:val="24"/>
              </w:rPr>
            </w:pPr>
          </w:p>
        </w:tc>
      </w:tr>
      <w:tr w:rsidR="002238A0" w:rsidTr="007A5000">
        <w:tc>
          <w:tcPr>
            <w:tcW w:w="4414" w:type="dxa"/>
          </w:tcPr>
          <w:p w:rsidR="002238A0" w:rsidRDefault="002238A0" w:rsidP="007A500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AIDA AVELLA</w:t>
            </w:r>
          </w:p>
          <w:p w:rsidR="002238A0" w:rsidRDefault="002238A0" w:rsidP="007A5000">
            <w:pPr>
              <w:jc w:val="center"/>
              <w:rPr>
                <w:rFonts w:ascii="Arial Narrow" w:hAnsi="Arial Narrow"/>
                <w:sz w:val="24"/>
                <w:szCs w:val="24"/>
              </w:rPr>
            </w:pPr>
            <w:r>
              <w:rPr>
                <w:rFonts w:ascii="Arial Narrow" w:hAnsi="Arial Narrow"/>
                <w:sz w:val="24"/>
                <w:szCs w:val="24"/>
              </w:rPr>
              <w:t>Senadora de la República</w:t>
            </w:r>
          </w:p>
        </w:tc>
        <w:tc>
          <w:tcPr>
            <w:tcW w:w="4414" w:type="dxa"/>
          </w:tcPr>
          <w:p w:rsidR="002238A0" w:rsidRDefault="002238A0" w:rsidP="007A500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IVAN CEPEDA</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ALBERTO CASTILLA</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FELICIANO VALENCIA</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ALEXANDER LÓPEZ</w:t>
            </w:r>
          </w:p>
          <w:p w:rsidR="002238A0" w:rsidRDefault="002238A0" w:rsidP="007A5000">
            <w:pPr>
              <w:spacing w:after="0"/>
              <w:jc w:val="center"/>
              <w:rPr>
                <w:rFonts w:ascii="Arial Narrow" w:hAnsi="Arial Narrow"/>
                <w:b/>
                <w:sz w:val="24"/>
                <w:szCs w:val="24"/>
              </w:rPr>
            </w:pPr>
            <w:r>
              <w:rPr>
                <w:rFonts w:ascii="Arial Narrow" w:hAnsi="Arial Narrow"/>
                <w:sz w:val="24"/>
                <w:szCs w:val="24"/>
              </w:rPr>
              <w:t>Senador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ANTONIO SANGUINO</w:t>
            </w:r>
          </w:p>
          <w:p w:rsidR="002238A0" w:rsidRDefault="002238A0" w:rsidP="007A5000">
            <w:pPr>
              <w:spacing w:after="0"/>
              <w:jc w:val="center"/>
              <w:rPr>
                <w:rFonts w:ascii="Arial Narrow" w:hAnsi="Arial Narrow"/>
                <w:b/>
                <w:sz w:val="24"/>
                <w:szCs w:val="24"/>
              </w:rPr>
            </w:pPr>
            <w:r>
              <w:rPr>
                <w:rFonts w:ascii="Arial Narrow" w:hAnsi="Arial Narrow"/>
                <w:sz w:val="24"/>
                <w:szCs w:val="24"/>
              </w:rPr>
              <w:t>Senador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GUSTAVO PETRO</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DAVID RACERO</w:t>
            </w:r>
          </w:p>
          <w:p w:rsidR="002238A0" w:rsidRDefault="002238A0" w:rsidP="007A5000">
            <w:pPr>
              <w:jc w:val="center"/>
              <w:rPr>
                <w:rFonts w:ascii="Arial Narrow" w:hAnsi="Arial Narrow"/>
                <w:sz w:val="24"/>
                <w:szCs w:val="24"/>
              </w:rPr>
            </w:pPr>
            <w:r>
              <w:rPr>
                <w:rFonts w:ascii="Arial Narrow" w:hAnsi="Arial Narrow"/>
                <w:sz w:val="24"/>
                <w:szCs w:val="24"/>
              </w:rPr>
              <w:t xml:space="preserve">Representante a la Cámara </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GUSTAVO BOLIVAR</w:t>
            </w:r>
          </w:p>
          <w:p w:rsidR="002238A0" w:rsidRDefault="002238A0" w:rsidP="007A5000">
            <w:pPr>
              <w:spacing w:after="0"/>
              <w:jc w:val="center"/>
              <w:rPr>
                <w:rFonts w:ascii="Arial Narrow" w:hAnsi="Arial Narrow"/>
                <w:sz w:val="24"/>
                <w:szCs w:val="24"/>
              </w:rPr>
            </w:pPr>
            <w:r>
              <w:rPr>
                <w:rFonts w:ascii="Arial Narrow" w:hAnsi="Arial Narrow"/>
                <w:sz w:val="24"/>
                <w:szCs w:val="24"/>
              </w:rPr>
              <w:t>Senador de la República</w:t>
            </w: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ABEL DAVID JARAMILLO</w:t>
            </w:r>
          </w:p>
          <w:p w:rsidR="002238A0" w:rsidRDefault="002238A0" w:rsidP="007A5000">
            <w:pPr>
              <w:spacing w:after="0"/>
              <w:jc w:val="center"/>
              <w:rPr>
                <w:rFonts w:ascii="Arial Narrow" w:hAnsi="Arial Narrow"/>
                <w:sz w:val="24"/>
                <w:szCs w:val="24"/>
              </w:rPr>
            </w:pPr>
            <w:r>
              <w:rPr>
                <w:rFonts w:ascii="Arial Narrow" w:hAnsi="Arial Narrow"/>
                <w:sz w:val="24"/>
                <w:szCs w:val="24"/>
              </w:rPr>
              <w:t>Representante a la Cámara</w:t>
            </w:r>
          </w:p>
        </w:tc>
      </w:tr>
      <w:tr w:rsidR="002238A0" w:rsidTr="007A5000">
        <w:tc>
          <w:tcPr>
            <w:tcW w:w="4414" w:type="dxa"/>
          </w:tcPr>
          <w:p w:rsidR="002238A0" w:rsidRDefault="002238A0" w:rsidP="007A5000">
            <w:pPr>
              <w:jc w:val="cente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jc w:val="cente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jc w:val="cente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jc w:val="center"/>
              <w:rPr>
                <w:rFonts w:ascii="Arial Narrow" w:hAnsi="Arial Narrow"/>
                <w:sz w:val="24"/>
                <w:szCs w:val="24"/>
              </w:rPr>
            </w:pPr>
          </w:p>
        </w:tc>
        <w:tc>
          <w:tcPr>
            <w:tcW w:w="4414" w:type="dxa"/>
          </w:tcPr>
          <w:p w:rsidR="002238A0" w:rsidRDefault="002238A0" w:rsidP="007A5000">
            <w:pPr>
              <w:jc w:val="cente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jc w:val="cente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jc w:val="cente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spacing w:after="0"/>
              <w:jc w:val="center"/>
              <w:rPr>
                <w:rFonts w:ascii="Arial Narrow" w:hAnsi="Arial Narrow"/>
                <w:b/>
                <w:sz w:val="24"/>
                <w:szCs w:val="24"/>
              </w:rPr>
            </w:pP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bl>
    <w:p w:rsidR="007B31C6" w:rsidRPr="002076FA" w:rsidRDefault="007B31C6" w:rsidP="007B31C6">
      <w:pPr>
        <w:spacing w:after="0" w:line="240" w:lineRule="auto"/>
        <w:rPr>
          <w:rFonts w:ascii="Arial Narrow" w:hAnsi="Arial Narrow"/>
          <w:color w:val="000000" w:themeColor="text1"/>
          <w:sz w:val="24"/>
          <w:szCs w:val="24"/>
        </w:rPr>
      </w:pPr>
    </w:p>
    <w:p w:rsidR="007B31C6" w:rsidRDefault="007B31C6" w:rsidP="007B31C6">
      <w:pPr>
        <w:jc w:val="center"/>
        <w:rPr>
          <w:rFonts w:ascii="Arial Narrow" w:eastAsia="Arial Narrow" w:hAnsi="Arial Narrow" w:cs="Arial Narrow"/>
          <w:b/>
          <w:sz w:val="24"/>
          <w:szCs w:val="24"/>
        </w:rPr>
      </w:pPr>
      <w:r>
        <w:rPr>
          <w:rFonts w:ascii="Arial Narrow" w:eastAsia="Arial Narrow" w:hAnsi="Arial Narrow" w:cs="Arial Narrow"/>
          <w:b/>
          <w:sz w:val="24"/>
          <w:szCs w:val="24"/>
        </w:rPr>
        <w:t>PROYECTO DE LEY No. ___ DE 2019 SENADO</w:t>
      </w:r>
    </w:p>
    <w:p w:rsidR="007B31C6" w:rsidRDefault="007B31C6" w:rsidP="007B31C6">
      <w:pPr>
        <w:jc w:val="center"/>
        <w:rPr>
          <w:rFonts w:ascii="Arial Narrow" w:eastAsia="Arial Narrow" w:hAnsi="Arial Narrow" w:cs="Arial Narrow"/>
          <w:b/>
          <w:sz w:val="24"/>
          <w:szCs w:val="24"/>
        </w:rPr>
      </w:pPr>
      <w:bookmarkStart w:id="1" w:name="_gjdgxs" w:colFirst="0" w:colLast="0"/>
      <w:bookmarkEnd w:id="1"/>
      <w:r>
        <w:rPr>
          <w:rFonts w:ascii="Arial Narrow" w:eastAsia="Arial Narrow" w:hAnsi="Arial Narrow" w:cs="Arial Narrow"/>
          <w:b/>
          <w:sz w:val="24"/>
          <w:szCs w:val="24"/>
        </w:rPr>
        <w:t>“Por medio de la cual se modifica la ley 1780 de 2016 para introducir medidas afirmativas a favor del empleo y el emprendimiento de las mujeres jóvenes entre los 18 y los 28 años de edad”</w:t>
      </w:r>
    </w:p>
    <w:p w:rsidR="007B31C6" w:rsidRDefault="007B31C6" w:rsidP="007B31C6">
      <w:pPr>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Colombia DECRETA:</w:t>
      </w:r>
    </w:p>
    <w:p w:rsidR="007B31C6" w:rsidRDefault="007B31C6" w:rsidP="007B31C6">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1°. Objeto. La presente ley tiene por objeto modificar la ley 1780 de 2016, introduciendo medidas afirmativas de fomento al empleo y el emprendimiento de las mujeres jóvenes entre los 18 y los 28 años de edad.  </w:t>
      </w:r>
    </w:p>
    <w:p w:rsidR="007B31C6" w:rsidRDefault="007B31C6" w:rsidP="007B31C6">
      <w:pPr>
        <w:jc w:val="both"/>
        <w:rPr>
          <w:rFonts w:ascii="Arial Narrow" w:eastAsia="Arial Narrow" w:hAnsi="Arial Narrow" w:cs="Arial Narrow"/>
          <w:sz w:val="24"/>
          <w:szCs w:val="24"/>
        </w:rPr>
      </w:pPr>
      <w:r>
        <w:rPr>
          <w:rFonts w:ascii="Arial Narrow" w:eastAsia="Arial Narrow" w:hAnsi="Arial Narrow" w:cs="Arial Narrow"/>
          <w:sz w:val="24"/>
          <w:szCs w:val="24"/>
        </w:rPr>
        <w:t>Artículo 2°. Adiciónese un parágrafo al artículo 3° de la ley 1780 de 2016, el cual quedará así:</w:t>
      </w:r>
    </w:p>
    <w:p w:rsidR="007B31C6" w:rsidRDefault="007B31C6" w:rsidP="007B31C6">
      <w:pPr>
        <w:ind w:left="709"/>
        <w:jc w:val="both"/>
        <w:rPr>
          <w:rFonts w:ascii="Arial Narrow" w:eastAsia="Arial Narrow" w:hAnsi="Arial Narrow" w:cs="Arial Narrow"/>
          <w:sz w:val="24"/>
          <w:szCs w:val="24"/>
        </w:rPr>
      </w:pPr>
      <w:r>
        <w:rPr>
          <w:rFonts w:ascii="Arial Narrow" w:eastAsia="Arial Narrow" w:hAnsi="Arial Narrow" w:cs="Arial Narrow"/>
          <w:sz w:val="24"/>
          <w:szCs w:val="24"/>
        </w:rPr>
        <w:t>ARTÍCULO  3°. Exención del pago en la matrícula mercantil y su renovación. Las pequeñas empresas jóvenes que inicien su actividad económica principal a partir de la promulgación de la presente Ley, quedarán exentas del pago de la matricula mercantil y de la renovación del primer año siguiente al inicio de la actividad económica principal.</w:t>
      </w:r>
    </w:p>
    <w:p w:rsidR="007B31C6" w:rsidRPr="00097849" w:rsidRDefault="007B31C6" w:rsidP="007B31C6">
      <w:pPr>
        <w:ind w:left="709"/>
        <w:jc w:val="both"/>
        <w:rPr>
          <w:rFonts w:ascii="Arial Narrow" w:eastAsia="Arial Narrow" w:hAnsi="Arial Narrow" w:cs="Arial Narrow"/>
          <w:b/>
          <w:sz w:val="24"/>
          <w:szCs w:val="24"/>
          <w:u w:val="single"/>
        </w:rPr>
      </w:pPr>
      <w:r w:rsidRPr="00097849">
        <w:rPr>
          <w:rFonts w:ascii="Arial Narrow" w:eastAsia="Arial Narrow" w:hAnsi="Arial Narrow" w:cs="Arial Narrow"/>
          <w:b/>
          <w:sz w:val="24"/>
          <w:szCs w:val="24"/>
          <w:u w:val="single"/>
        </w:rPr>
        <w:t xml:space="preserve">Parágrafo. </w:t>
      </w:r>
      <w:r w:rsidR="007B0C83">
        <w:rPr>
          <w:rFonts w:ascii="Arial Narrow" w:eastAsia="Arial Narrow" w:hAnsi="Arial Narrow" w:cs="Arial Narrow"/>
          <w:b/>
          <w:sz w:val="24"/>
          <w:szCs w:val="24"/>
          <w:u w:val="single"/>
        </w:rPr>
        <w:t>Además de los beneficios descritos en este artículo, l</w:t>
      </w:r>
      <w:r w:rsidRPr="00097849">
        <w:rPr>
          <w:rFonts w:ascii="Arial Narrow" w:eastAsia="Arial Narrow" w:hAnsi="Arial Narrow" w:cs="Arial Narrow"/>
          <w:b/>
          <w:sz w:val="24"/>
          <w:szCs w:val="24"/>
          <w:u w:val="single"/>
        </w:rPr>
        <w:t xml:space="preserve">as pequeñas empresas jóvenes que desde el inicio de su actividad demuestre que </w:t>
      </w:r>
      <w:r>
        <w:rPr>
          <w:rFonts w:ascii="Arial Narrow" w:eastAsia="Arial Narrow" w:hAnsi="Arial Narrow" w:cs="Arial Narrow"/>
          <w:b/>
          <w:sz w:val="24"/>
          <w:szCs w:val="24"/>
          <w:u w:val="single"/>
        </w:rPr>
        <w:t xml:space="preserve">entre su planta laboral </w:t>
      </w:r>
      <w:r w:rsidRPr="00097849">
        <w:rPr>
          <w:rFonts w:ascii="Arial Narrow" w:eastAsia="Arial Narrow" w:hAnsi="Arial Narrow" w:cs="Arial Narrow"/>
          <w:b/>
          <w:sz w:val="24"/>
          <w:szCs w:val="24"/>
          <w:u w:val="single"/>
        </w:rPr>
        <w:t xml:space="preserve">tienen vinculadas </w:t>
      </w:r>
      <w:r w:rsidR="007B0C83">
        <w:rPr>
          <w:rFonts w:ascii="Arial Narrow" w:eastAsia="Arial Narrow" w:hAnsi="Arial Narrow" w:cs="Arial Narrow"/>
          <w:b/>
          <w:sz w:val="24"/>
          <w:szCs w:val="24"/>
          <w:u w:val="single"/>
        </w:rPr>
        <w:t xml:space="preserve">por lo menos </w:t>
      </w:r>
      <w:r>
        <w:rPr>
          <w:rFonts w:ascii="Arial Narrow" w:eastAsia="Arial Narrow" w:hAnsi="Arial Narrow" w:cs="Arial Narrow"/>
          <w:b/>
          <w:sz w:val="24"/>
          <w:szCs w:val="24"/>
          <w:u w:val="single"/>
        </w:rPr>
        <w:t>un 51% de</w:t>
      </w:r>
      <w:r w:rsidRPr="00097849">
        <w:rPr>
          <w:rFonts w:ascii="Arial Narrow" w:eastAsia="Arial Narrow" w:hAnsi="Arial Narrow" w:cs="Arial Narrow"/>
          <w:b/>
          <w:sz w:val="24"/>
          <w:szCs w:val="24"/>
          <w:u w:val="single"/>
        </w:rPr>
        <w:t xml:space="preserve"> mujeres jóvenes, </w:t>
      </w:r>
      <w:r w:rsidR="007B0C83">
        <w:rPr>
          <w:rFonts w:ascii="Arial Narrow" w:eastAsia="Arial Narrow" w:hAnsi="Arial Narrow" w:cs="Arial Narrow"/>
          <w:b/>
          <w:sz w:val="24"/>
          <w:szCs w:val="24"/>
          <w:u w:val="single"/>
        </w:rPr>
        <w:t xml:space="preserve">quedarán eximidas del pago de la renovación de la matrícula mercantil </w:t>
      </w:r>
      <w:r w:rsidRPr="00097849">
        <w:rPr>
          <w:rFonts w:ascii="Arial Narrow" w:eastAsia="Arial Narrow" w:hAnsi="Arial Narrow" w:cs="Arial Narrow"/>
          <w:b/>
          <w:sz w:val="24"/>
          <w:szCs w:val="24"/>
          <w:u w:val="single"/>
        </w:rPr>
        <w:t xml:space="preserve">durante </w:t>
      </w:r>
      <w:r w:rsidR="007B0C83">
        <w:rPr>
          <w:rFonts w:ascii="Arial Narrow" w:eastAsia="Arial Narrow" w:hAnsi="Arial Narrow" w:cs="Arial Narrow"/>
          <w:b/>
          <w:sz w:val="24"/>
          <w:szCs w:val="24"/>
          <w:u w:val="single"/>
        </w:rPr>
        <w:t>el segundo y</w:t>
      </w:r>
      <w:r w:rsidRPr="00097849">
        <w:rPr>
          <w:rFonts w:ascii="Arial Narrow" w:eastAsia="Arial Narrow" w:hAnsi="Arial Narrow" w:cs="Arial Narrow"/>
          <w:b/>
          <w:sz w:val="24"/>
          <w:szCs w:val="24"/>
          <w:u w:val="single"/>
        </w:rPr>
        <w:t xml:space="preserve"> tercer año siguientes al inicio de su actividad económica.</w:t>
      </w:r>
    </w:p>
    <w:p w:rsidR="007B31C6" w:rsidRDefault="007B31C6" w:rsidP="007B31C6">
      <w:pPr>
        <w:jc w:val="both"/>
        <w:rPr>
          <w:rFonts w:ascii="Arial Narrow" w:eastAsia="Arial Narrow" w:hAnsi="Arial Narrow" w:cs="Arial Narrow"/>
          <w:sz w:val="24"/>
          <w:szCs w:val="24"/>
        </w:rPr>
      </w:pPr>
      <w:r>
        <w:rPr>
          <w:rFonts w:ascii="Arial Narrow" w:eastAsia="Arial Narrow" w:hAnsi="Arial Narrow" w:cs="Arial Narrow"/>
          <w:sz w:val="24"/>
          <w:szCs w:val="24"/>
        </w:rPr>
        <w:t>Artículo 3°. Adiciónese un parágrafo al artículo 7° de la ley 1780 de 2016, el cual quedará así:</w:t>
      </w:r>
    </w:p>
    <w:p w:rsidR="007B31C6" w:rsidRDefault="007B31C6" w:rsidP="007B31C6">
      <w:pPr>
        <w:ind w:left="709"/>
        <w:jc w:val="both"/>
        <w:rPr>
          <w:rFonts w:ascii="Arial Narrow" w:eastAsia="Arial Narrow" w:hAnsi="Arial Narrow" w:cs="Arial Narrow"/>
          <w:sz w:val="24"/>
          <w:szCs w:val="24"/>
        </w:rPr>
      </w:pPr>
      <w:r>
        <w:rPr>
          <w:rFonts w:ascii="Arial Narrow" w:eastAsia="Arial Narrow" w:hAnsi="Arial Narrow" w:cs="Arial Narrow"/>
          <w:sz w:val="24"/>
          <w:szCs w:val="24"/>
        </w:rPr>
        <w:t>ARTÍCULO  7°. No aporte a Cajas de Compensación Familiar. Los empleadores que vinculen a nuevo personal que al momento del inicio del contrato de trabajo tengan entre 18 a 28 años de edad no tendrán que realizar los aportes a Cajas de Compensación Familiar por tales trabajadores afiliados durante el primer año de vinculación.</w:t>
      </w:r>
    </w:p>
    <w:p w:rsidR="007B31C6" w:rsidRDefault="007B31C6" w:rsidP="007B31C6">
      <w:pPr>
        <w:ind w:left="709"/>
        <w:jc w:val="both"/>
        <w:rPr>
          <w:rFonts w:ascii="Arial Narrow" w:eastAsia="Arial Narrow" w:hAnsi="Arial Narrow" w:cs="Arial Narrow"/>
          <w:sz w:val="24"/>
          <w:szCs w:val="24"/>
        </w:rPr>
      </w:pPr>
      <w:r>
        <w:rPr>
          <w:rFonts w:ascii="Arial Narrow" w:eastAsia="Arial Narrow" w:hAnsi="Arial Narrow" w:cs="Arial Narrow"/>
          <w:sz w:val="24"/>
          <w:szCs w:val="24"/>
        </w:rPr>
        <w:t>Para acceder al anterior beneficio, el empleador deberá incrementar el número de empleados con relación a los que tenía en la nómina del año anterior; e incrementar el valor total de la nómina del año gravable inmediatamente anterior en términos constantes al que se va a realizar la correspondiente exención de pago.</w:t>
      </w:r>
    </w:p>
    <w:p w:rsidR="007B31C6" w:rsidRDefault="007B31C6" w:rsidP="007B31C6">
      <w:pPr>
        <w:ind w:left="709"/>
        <w:jc w:val="both"/>
        <w:rPr>
          <w:rFonts w:ascii="Arial Narrow" w:eastAsia="Arial Narrow" w:hAnsi="Arial Narrow" w:cs="Arial Narrow"/>
          <w:sz w:val="24"/>
          <w:szCs w:val="24"/>
        </w:rPr>
      </w:pPr>
      <w:r>
        <w:rPr>
          <w:rFonts w:ascii="Arial Narrow" w:eastAsia="Arial Narrow" w:hAnsi="Arial Narrow" w:cs="Arial Narrow"/>
          <w:sz w:val="24"/>
          <w:szCs w:val="24"/>
        </w:rPr>
        <w:t>El Gobierno Nacional reglamentará dentro de los seis (6) meses siguientes a la expedición de la presente ley, las condiciones que deben cumplir las empresas para acceder a los beneficios contemplados en este artículo.</w:t>
      </w:r>
    </w:p>
    <w:p w:rsidR="007B31C6" w:rsidRDefault="007B31C6" w:rsidP="007B31C6">
      <w:pPr>
        <w:ind w:left="709"/>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Parágrafo 1°. El beneficio de que trata este artículo sólo aplica para nuevo personal, sin que puedan interpretarse como nuevo personal aquel que se vincule luego de la fusión de empresas.</w:t>
      </w:r>
    </w:p>
    <w:p w:rsidR="007B31C6" w:rsidRDefault="007B31C6" w:rsidP="007B31C6">
      <w:pPr>
        <w:ind w:left="709"/>
        <w:jc w:val="both"/>
        <w:rPr>
          <w:rFonts w:ascii="Arial Narrow" w:eastAsia="Arial Narrow" w:hAnsi="Arial Narrow" w:cs="Arial Narrow"/>
          <w:sz w:val="24"/>
          <w:szCs w:val="24"/>
        </w:rPr>
      </w:pPr>
      <w:r>
        <w:rPr>
          <w:rFonts w:ascii="Arial Narrow" w:eastAsia="Arial Narrow" w:hAnsi="Arial Narrow" w:cs="Arial Narrow"/>
          <w:sz w:val="24"/>
          <w:szCs w:val="24"/>
        </w:rPr>
        <w:t>PARÁGRAFO  2°. En ningún caso, el beneficio previsto se podrá realizar sobre las personas menores de 28 años de edad, que se vinculen para reemplazar personal contratado con anterioridad.</w:t>
      </w:r>
    </w:p>
    <w:p w:rsidR="007B31C6" w:rsidRDefault="007B31C6" w:rsidP="007B31C6">
      <w:pPr>
        <w:ind w:left="709"/>
        <w:jc w:val="both"/>
        <w:rPr>
          <w:rFonts w:ascii="Arial Narrow" w:eastAsia="Arial Narrow" w:hAnsi="Arial Narrow" w:cs="Arial Narrow"/>
          <w:sz w:val="24"/>
          <w:szCs w:val="24"/>
        </w:rPr>
      </w:pPr>
      <w:r>
        <w:rPr>
          <w:rFonts w:ascii="Arial Narrow" w:eastAsia="Arial Narrow" w:hAnsi="Arial Narrow" w:cs="Arial Narrow"/>
          <w:sz w:val="24"/>
          <w:szCs w:val="24"/>
        </w:rPr>
        <w:t>PARÁGRAFO  3°. Los trabajadores afiliados mediante este mecanismo gozarán de los mismos beneficios en el Sistema de Subsidio Familiar que los trabajadores por los que se realizan aportes regulares.</w:t>
      </w:r>
    </w:p>
    <w:p w:rsidR="007B31C6" w:rsidRPr="00097849" w:rsidRDefault="007B31C6" w:rsidP="007B31C6">
      <w:pPr>
        <w:ind w:left="709"/>
        <w:jc w:val="both"/>
        <w:rPr>
          <w:rFonts w:ascii="Arial Narrow" w:eastAsia="Arial Narrow" w:hAnsi="Arial Narrow" w:cs="Arial Narrow"/>
          <w:b/>
          <w:sz w:val="24"/>
          <w:szCs w:val="24"/>
          <w:u w:val="single"/>
        </w:rPr>
      </w:pPr>
      <w:r w:rsidRPr="00097849">
        <w:rPr>
          <w:rFonts w:ascii="Arial Narrow" w:eastAsia="Arial Narrow" w:hAnsi="Arial Narrow" w:cs="Arial Narrow"/>
          <w:b/>
          <w:sz w:val="24"/>
          <w:szCs w:val="24"/>
          <w:u w:val="single"/>
        </w:rPr>
        <w:t>Parágrafo Nuevo. Cuando el personal nuevo de que trata este artículo sean mujeres entre los 18 y los 28 años de edad, los empleadores no tendrán que realizar los aportes a Cajas de Compensación Familiar por tales trabajadoras durante el primer y segundo año de vinculación.</w:t>
      </w:r>
    </w:p>
    <w:p w:rsidR="007B31C6" w:rsidRDefault="007B31C6" w:rsidP="007B31C6">
      <w:pPr>
        <w:jc w:val="both"/>
        <w:rPr>
          <w:rFonts w:ascii="Arial Narrow" w:eastAsia="Arial Narrow" w:hAnsi="Arial Narrow" w:cs="Arial Narrow"/>
          <w:sz w:val="24"/>
          <w:szCs w:val="24"/>
        </w:rPr>
      </w:pPr>
      <w:r>
        <w:rPr>
          <w:rFonts w:ascii="Arial Narrow" w:eastAsia="Arial Narrow" w:hAnsi="Arial Narrow" w:cs="Arial Narrow"/>
          <w:sz w:val="24"/>
          <w:szCs w:val="24"/>
        </w:rPr>
        <w:t>Artículo 4°. Adiciónese un parágrafo al artículo 8° de la ley 1780 de 2016, el cual quedará así:</w:t>
      </w:r>
    </w:p>
    <w:p w:rsidR="007B31C6" w:rsidRDefault="007B31C6" w:rsidP="007B31C6">
      <w:pPr>
        <w:ind w:left="709"/>
        <w:jc w:val="both"/>
        <w:rPr>
          <w:rFonts w:ascii="Arial Narrow" w:eastAsia="Arial Narrow" w:hAnsi="Arial Narrow" w:cs="Arial Narrow"/>
          <w:sz w:val="24"/>
          <w:szCs w:val="24"/>
        </w:rPr>
      </w:pPr>
      <w:r>
        <w:rPr>
          <w:rFonts w:ascii="Arial Narrow" w:eastAsia="Arial Narrow" w:hAnsi="Arial Narrow" w:cs="Arial Narrow"/>
          <w:sz w:val="24"/>
          <w:szCs w:val="24"/>
        </w:rPr>
        <w:t>ARTÍCULO  8°. Promoción de empleo y emprendimiento juvenil. Las entidades del Estado que administren y ejecuten programas de emprendimiento, en el marco de la Política Nacional de Emprendimiento, fortalecerán su presencia institucional para incentivar y promover el empleo y el emprendimiento juvenil, con especial énfasis en la ruralidad, minorías étnicas del país y jóvenes inmersos en el proceso de post conflicto.</w:t>
      </w:r>
    </w:p>
    <w:p w:rsidR="007B31C6" w:rsidRPr="00097849" w:rsidRDefault="007B31C6" w:rsidP="007B31C6">
      <w:pPr>
        <w:ind w:left="709"/>
        <w:jc w:val="both"/>
        <w:rPr>
          <w:rFonts w:ascii="Arial Narrow" w:eastAsia="Arial Narrow" w:hAnsi="Arial Narrow" w:cs="Arial Narrow"/>
          <w:b/>
          <w:sz w:val="24"/>
          <w:szCs w:val="24"/>
          <w:u w:val="single"/>
        </w:rPr>
      </w:pPr>
      <w:r w:rsidRPr="00097849">
        <w:rPr>
          <w:rFonts w:ascii="Arial Narrow" w:eastAsia="Arial Narrow" w:hAnsi="Arial Narrow" w:cs="Arial Narrow"/>
          <w:b/>
          <w:sz w:val="24"/>
          <w:szCs w:val="24"/>
          <w:u w:val="single"/>
        </w:rPr>
        <w:t xml:space="preserve">Parágrafo. El SENA, a través del programa de capacitación y fomento del Fondo Emprender, impulsará por lo menos una vez al año una convocatoria especial para formación y financiamiento de iniciativas empresariales </w:t>
      </w:r>
      <w:r w:rsidR="00CF6577">
        <w:rPr>
          <w:rFonts w:ascii="Arial Narrow" w:eastAsia="Arial Narrow" w:hAnsi="Arial Narrow" w:cs="Arial Narrow"/>
          <w:b/>
          <w:sz w:val="24"/>
          <w:szCs w:val="24"/>
          <w:u w:val="single"/>
        </w:rPr>
        <w:t xml:space="preserve">lideradas </w:t>
      </w:r>
      <w:r w:rsidRPr="00097849">
        <w:rPr>
          <w:rFonts w:ascii="Arial Narrow" w:eastAsia="Arial Narrow" w:hAnsi="Arial Narrow" w:cs="Arial Narrow"/>
          <w:b/>
          <w:sz w:val="24"/>
          <w:szCs w:val="24"/>
          <w:u w:val="single"/>
        </w:rPr>
        <w:t>por mujeres y</w:t>
      </w:r>
      <w:r w:rsidR="00CF6577">
        <w:rPr>
          <w:rFonts w:ascii="Arial Narrow" w:eastAsia="Arial Narrow" w:hAnsi="Arial Narrow" w:cs="Arial Narrow"/>
          <w:b/>
          <w:sz w:val="24"/>
          <w:szCs w:val="24"/>
          <w:u w:val="single"/>
        </w:rPr>
        <w:t>/o</w:t>
      </w:r>
      <w:r w:rsidRPr="00097849">
        <w:rPr>
          <w:rFonts w:ascii="Arial Narrow" w:eastAsia="Arial Narrow" w:hAnsi="Arial Narrow" w:cs="Arial Narrow"/>
          <w:b/>
          <w:sz w:val="24"/>
          <w:szCs w:val="24"/>
          <w:u w:val="single"/>
        </w:rPr>
        <w:t xml:space="preserve"> con planta de personal compuesta mayoritariamente por mujeres.</w:t>
      </w:r>
      <w:r>
        <w:rPr>
          <w:rFonts w:ascii="Arial Narrow" w:eastAsia="Arial Narrow" w:hAnsi="Arial Narrow" w:cs="Arial Narrow"/>
          <w:b/>
          <w:sz w:val="24"/>
          <w:szCs w:val="24"/>
          <w:u w:val="single"/>
        </w:rPr>
        <w:t xml:space="preserve"> Deberán priorizarse los departamentos con mayor incidencia del desempleo de las mujeres.    </w:t>
      </w:r>
    </w:p>
    <w:p w:rsidR="007B31C6" w:rsidRPr="002238A0" w:rsidRDefault="007B31C6" w:rsidP="002238A0">
      <w:pPr>
        <w:jc w:val="both"/>
        <w:rPr>
          <w:rFonts w:ascii="Arial Narrow" w:eastAsia="Arial Narrow" w:hAnsi="Arial Narrow" w:cs="Arial Narrow"/>
          <w:sz w:val="24"/>
          <w:szCs w:val="24"/>
        </w:rPr>
      </w:pPr>
      <w:r>
        <w:rPr>
          <w:rFonts w:ascii="Arial Narrow" w:eastAsia="Arial Narrow" w:hAnsi="Arial Narrow" w:cs="Arial Narrow"/>
          <w:sz w:val="24"/>
          <w:szCs w:val="24"/>
        </w:rPr>
        <w:t>Artículo 5°. La presente ley rige a partir de su publicación y deroga todas las normas que le sean contrarias.</w:t>
      </w:r>
    </w:p>
    <w:p w:rsidR="007B31C6" w:rsidRPr="006E0F40" w:rsidRDefault="007B31C6" w:rsidP="007B31C6">
      <w:pPr>
        <w:rPr>
          <w:rFonts w:ascii="Arial Narrow" w:hAnsi="Arial Narrow"/>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238A0" w:rsidTr="007A5000">
        <w:tc>
          <w:tcPr>
            <w:tcW w:w="4414" w:type="dxa"/>
          </w:tcPr>
          <w:p w:rsidR="002238A0" w:rsidRDefault="002238A0" w:rsidP="002238A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sidRPr="00C5722F">
              <w:rPr>
                <w:rFonts w:ascii="Arial Narrow" w:hAnsi="Arial Narrow"/>
                <w:b/>
                <w:sz w:val="24"/>
                <w:szCs w:val="24"/>
              </w:rPr>
              <w:t>VICTORIA SANDINO SIMANCA HERRERA</w:t>
            </w:r>
          </w:p>
          <w:p w:rsidR="002238A0" w:rsidRDefault="002238A0" w:rsidP="007A5000">
            <w:pPr>
              <w:spacing w:after="0"/>
              <w:jc w:val="center"/>
              <w:rPr>
                <w:rFonts w:ascii="Arial Narrow" w:hAnsi="Arial Narrow"/>
                <w:sz w:val="24"/>
                <w:szCs w:val="24"/>
              </w:rPr>
            </w:pPr>
            <w:r>
              <w:rPr>
                <w:rFonts w:ascii="Arial Narrow" w:hAnsi="Arial Narrow"/>
                <w:sz w:val="24"/>
                <w:szCs w:val="24"/>
              </w:rPr>
              <w:t>Senadora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7A5000" w:rsidRPr="00C5722F" w:rsidRDefault="007A5000" w:rsidP="007A5000">
            <w:pPr>
              <w:spacing w:after="0"/>
              <w:jc w:val="center"/>
              <w:rPr>
                <w:rFonts w:ascii="Arial Narrow" w:hAnsi="Arial Narrow"/>
                <w:b/>
                <w:sz w:val="24"/>
                <w:szCs w:val="24"/>
              </w:rPr>
            </w:pPr>
            <w:r>
              <w:rPr>
                <w:rFonts w:ascii="Arial Narrow" w:hAnsi="Arial Narrow"/>
                <w:b/>
                <w:sz w:val="24"/>
                <w:szCs w:val="24"/>
              </w:rPr>
              <w:t>PABLO CATATUMBO TORRES</w:t>
            </w:r>
          </w:p>
          <w:p w:rsidR="002238A0" w:rsidRDefault="007A5000" w:rsidP="007A5000">
            <w:pPr>
              <w:jc w:val="center"/>
              <w:rPr>
                <w:rFonts w:ascii="Arial Narrow" w:hAnsi="Arial Narrow"/>
                <w:sz w:val="24"/>
                <w:szCs w:val="24"/>
              </w:rPr>
            </w:pPr>
            <w:r>
              <w:rPr>
                <w:rFonts w:ascii="Arial Narrow" w:hAnsi="Arial Narrow"/>
                <w:sz w:val="24"/>
                <w:szCs w:val="24"/>
              </w:rPr>
              <w:t>Senador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7A5000" w:rsidRPr="007A5000" w:rsidRDefault="007A5000" w:rsidP="007A5000">
            <w:pPr>
              <w:spacing w:after="0" w:line="240" w:lineRule="auto"/>
              <w:contextualSpacing/>
              <w:jc w:val="center"/>
              <w:rPr>
                <w:rFonts w:ascii="Arial Narrow" w:hAnsi="Arial Narrow"/>
                <w:b/>
                <w:sz w:val="24"/>
                <w:szCs w:val="24"/>
              </w:rPr>
            </w:pPr>
            <w:r w:rsidRPr="007A5000">
              <w:rPr>
                <w:rFonts w:ascii="Arial Narrow" w:hAnsi="Arial Narrow"/>
                <w:b/>
                <w:sz w:val="24"/>
                <w:szCs w:val="24"/>
              </w:rPr>
              <w:t>CRISELDA LOBO</w:t>
            </w:r>
          </w:p>
          <w:p w:rsidR="002238A0" w:rsidRDefault="007A5000" w:rsidP="007A5000">
            <w:pPr>
              <w:jc w:val="center"/>
              <w:rPr>
                <w:rFonts w:ascii="Arial Narrow" w:hAnsi="Arial Narrow"/>
                <w:sz w:val="24"/>
                <w:szCs w:val="24"/>
              </w:rPr>
            </w:pPr>
            <w:r>
              <w:rPr>
                <w:rFonts w:ascii="Arial Narrow" w:hAnsi="Arial Narrow"/>
                <w:sz w:val="24"/>
                <w:szCs w:val="24"/>
              </w:rPr>
              <w:t>Senadora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JULIAN GALLO</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7A5000" w:rsidRDefault="007A500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JAIRO CALA</w:t>
            </w:r>
          </w:p>
          <w:p w:rsidR="002238A0" w:rsidRDefault="002238A0" w:rsidP="007A5000">
            <w:pPr>
              <w:spacing w:after="0"/>
              <w:jc w:val="center"/>
              <w:rPr>
                <w:rFonts w:ascii="Arial Narrow" w:hAnsi="Arial Narrow"/>
                <w:b/>
                <w:sz w:val="24"/>
                <w:szCs w:val="24"/>
              </w:rPr>
            </w:pPr>
            <w:r>
              <w:rPr>
                <w:rFonts w:ascii="Arial Narrow" w:hAnsi="Arial Narrow"/>
                <w:sz w:val="24"/>
                <w:szCs w:val="24"/>
              </w:rPr>
              <w:t>Representante a la Cámara</w:t>
            </w: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tc>
        <w:tc>
          <w:tcPr>
            <w:tcW w:w="4414" w:type="dxa"/>
          </w:tcPr>
          <w:p w:rsidR="007A5000" w:rsidRDefault="007A5000" w:rsidP="007A5000">
            <w:pPr>
              <w:spacing w:after="0"/>
              <w:rPr>
                <w:rFonts w:ascii="Arial Narrow" w:hAnsi="Arial Narrow"/>
                <w:b/>
                <w:sz w:val="24"/>
                <w:szCs w:val="24"/>
              </w:rPr>
            </w:pPr>
          </w:p>
          <w:p w:rsidR="007A5000" w:rsidRDefault="007A5000" w:rsidP="007A5000">
            <w:pPr>
              <w:spacing w:after="0"/>
              <w:rPr>
                <w:rFonts w:ascii="Arial Narrow" w:hAnsi="Arial Narrow"/>
                <w:b/>
                <w:sz w:val="24"/>
                <w:szCs w:val="24"/>
              </w:rPr>
            </w:pPr>
          </w:p>
          <w:p w:rsidR="002238A0" w:rsidRDefault="002238A0" w:rsidP="007A5000">
            <w:pPr>
              <w:spacing w:after="0"/>
              <w:rPr>
                <w:rFonts w:ascii="Arial Narrow" w:hAnsi="Arial Narrow"/>
                <w:b/>
                <w:sz w:val="24"/>
                <w:szCs w:val="24"/>
              </w:rPr>
            </w:pPr>
            <w:r>
              <w:rPr>
                <w:rFonts w:ascii="Arial Narrow" w:hAnsi="Arial Narrow"/>
                <w:b/>
                <w:sz w:val="24"/>
                <w:szCs w:val="24"/>
              </w:rPr>
              <w:t>______________________________</w:t>
            </w:r>
            <w:r w:rsidR="007A5000">
              <w:rPr>
                <w:rFonts w:ascii="Arial Narrow" w:hAnsi="Arial Narrow"/>
                <w:b/>
                <w:sz w:val="24"/>
                <w:szCs w:val="24"/>
              </w:rPr>
              <w:t>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OLMEDO RUIZ</w:t>
            </w:r>
          </w:p>
          <w:p w:rsidR="002238A0" w:rsidRDefault="002238A0" w:rsidP="007A5000">
            <w:pPr>
              <w:spacing w:after="0"/>
              <w:jc w:val="center"/>
              <w:rPr>
                <w:rFonts w:ascii="Arial Narrow" w:hAnsi="Arial Narrow"/>
                <w:b/>
                <w:sz w:val="24"/>
                <w:szCs w:val="24"/>
              </w:rPr>
            </w:pPr>
            <w:r>
              <w:rPr>
                <w:rFonts w:ascii="Arial Narrow" w:hAnsi="Arial Narrow"/>
                <w:sz w:val="24"/>
                <w:szCs w:val="24"/>
              </w:rPr>
              <w:t>Representante a la Cámara</w:t>
            </w:r>
          </w:p>
        </w:tc>
      </w:tr>
      <w:tr w:rsidR="002238A0" w:rsidTr="007A5000">
        <w:tc>
          <w:tcPr>
            <w:tcW w:w="4414" w:type="dxa"/>
          </w:tcPr>
          <w:p w:rsidR="002238A0" w:rsidRDefault="002238A0" w:rsidP="007A500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CARLOS CARREÑO</w:t>
            </w:r>
          </w:p>
          <w:p w:rsidR="002238A0" w:rsidRDefault="002238A0" w:rsidP="007A5000">
            <w:pPr>
              <w:spacing w:after="0"/>
              <w:jc w:val="center"/>
              <w:rPr>
                <w:rFonts w:ascii="Arial Narrow" w:hAnsi="Arial Narrow"/>
                <w:b/>
                <w:sz w:val="24"/>
                <w:szCs w:val="24"/>
              </w:rPr>
            </w:pPr>
            <w:r>
              <w:rPr>
                <w:rFonts w:ascii="Arial Narrow" w:hAnsi="Arial Narrow"/>
                <w:sz w:val="24"/>
                <w:szCs w:val="24"/>
              </w:rPr>
              <w:t>Representante a la Cámara</w:t>
            </w:r>
          </w:p>
          <w:p w:rsidR="002238A0" w:rsidRDefault="002238A0" w:rsidP="007A5000">
            <w:pPr>
              <w:spacing w:after="0"/>
              <w:jc w:val="center"/>
              <w:rPr>
                <w:rFonts w:ascii="Arial Narrow" w:hAnsi="Arial Narrow"/>
                <w:b/>
                <w:sz w:val="24"/>
                <w:szCs w:val="24"/>
              </w:rPr>
            </w:pPr>
          </w:p>
        </w:tc>
        <w:tc>
          <w:tcPr>
            <w:tcW w:w="4414" w:type="dxa"/>
          </w:tcPr>
          <w:p w:rsidR="002238A0" w:rsidRDefault="002238A0" w:rsidP="007A500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LUIS ALBERTO ALBAN</w:t>
            </w:r>
          </w:p>
          <w:p w:rsidR="002238A0" w:rsidRDefault="002238A0" w:rsidP="007A5000">
            <w:pPr>
              <w:spacing w:after="0"/>
              <w:jc w:val="center"/>
              <w:rPr>
                <w:rFonts w:ascii="Arial Narrow" w:hAnsi="Arial Narrow"/>
                <w:b/>
                <w:sz w:val="24"/>
                <w:szCs w:val="24"/>
              </w:rPr>
            </w:pPr>
            <w:r>
              <w:rPr>
                <w:rFonts w:ascii="Arial Narrow" w:hAnsi="Arial Narrow"/>
                <w:sz w:val="24"/>
                <w:szCs w:val="24"/>
              </w:rPr>
              <w:t>Representante a la Cámara</w:t>
            </w:r>
          </w:p>
          <w:p w:rsidR="002238A0" w:rsidRDefault="002238A0" w:rsidP="007A5000">
            <w:pPr>
              <w:spacing w:after="0"/>
              <w:rPr>
                <w:rFonts w:ascii="Arial Narrow" w:hAnsi="Arial Narrow"/>
                <w:b/>
                <w:sz w:val="24"/>
                <w:szCs w:val="24"/>
              </w:rPr>
            </w:pPr>
          </w:p>
        </w:tc>
      </w:tr>
      <w:tr w:rsidR="002238A0" w:rsidTr="007A5000">
        <w:tc>
          <w:tcPr>
            <w:tcW w:w="4414" w:type="dxa"/>
          </w:tcPr>
          <w:p w:rsidR="002238A0" w:rsidRDefault="002238A0" w:rsidP="007A500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AIDA AVELLA</w:t>
            </w:r>
          </w:p>
          <w:p w:rsidR="002238A0" w:rsidRDefault="002238A0" w:rsidP="007A5000">
            <w:pPr>
              <w:jc w:val="center"/>
              <w:rPr>
                <w:rFonts w:ascii="Arial Narrow" w:hAnsi="Arial Narrow"/>
                <w:sz w:val="24"/>
                <w:szCs w:val="24"/>
              </w:rPr>
            </w:pPr>
            <w:r>
              <w:rPr>
                <w:rFonts w:ascii="Arial Narrow" w:hAnsi="Arial Narrow"/>
                <w:sz w:val="24"/>
                <w:szCs w:val="24"/>
              </w:rPr>
              <w:t>Senadora de la República</w:t>
            </w:r>
          </w:p>
        </w:tc>
        <w:tc>
          <w:tcPr>
            <w:tcW w:w="4414" w:type="dxa"/>
          </w:tcPr>
          <w:p w:rsidR="002238A0" w:rsidRDefault="002238A0" w:rsidP="007A500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IVAN CEPEDA</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ALBERTO CASTILLA</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FELICIANO VALENCIA</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ALEXANDER LÓPEZ</w:t>
            </w:r>
          </w:p>
          <w:p w:rsidR="002238A0" w:rsidRDefault="002238A0" w:rsidP="007A5000">
            <w:pPr>
              <w:spacing w:after="0"/>
              <w:jc w:val="center"/>
              <w:rPr>
                <w:rFonts w:ascii="Arial Narrow" w:hAnsi="Arial Narrow"/>
                <w:b/>
                <w:sz w:val="24"/>
                <w:szCs w:val="24"/>
              </w:rPr>
            </w:pPr>
            <w:r>
              <w:rPr>
                <w:rFonts w:ascii="Arial Narrow" w:hAnsi="Arial Narrow"/>
                <w:sz w:val="24"/>
                <w:szCs w:val="24"/>
              </w:rPr>
              <w:t>Senador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ANTONIO SANGUINO</w:t>
            </w:r>
          </w:p>
          <w:p w:rsidR="002238A0" w:rsidRDefault="002238A0" w:rsidP="007A5000">
            <w:pPr>
              <w:spacing w:after="0"/>
              <w:jc w:val="center"/>
              <w:rPr>
                <w:rFonts w:ascii="Arial Narrow" w:hAnsi="Arial Narrow"/>
                <w:b/>
                <w:sz w:val="24"/>
                <w:szCs w:val="24"/>
              </w:rPr>
            </w:pPr>
            <w:r>
              <w:rPr>
                <w:rFonts w:ascii="Arial Narrow" w:hAnsi="Arial Narrow"/>
                <w:sz w:val="24"/>
                <w:szCs w:val="24"/>
              </w:rPr>
              <w:t>Senador de la República</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GUSTAVO PETRO</w:t>
            </w:r>
          </w:p>
          <w:p w:rsidR="002238A0" w:rsidRDefault="002238A0" w:rsidP="007A5000">
            <w:pPr>
              <w:jc w:val="center"/>
              <w:rPr>
                <w:rFonts w:ascii="Arial Narrow" w:hAnsi="Arial Narrow"/>
                <w:sz w:val="24"/>
                <w:szCs w:val="24"/>
              </w:rPr>
            </w:pPr>
            <w:r>
              <w:rPr>
                <w:rFonts w:ascii="Arial Narrow" w:hAnsi="Arial Narrow"/>
                <w:sz w:val="24"/>
                <w:szCs w:val="24"/>
              </w:rPr>
              <w:t>Senador de la República</w:t>
            </w:r>
          </w:p>
        </w:tc>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DAVID RACERO</w:t>
            </w:r>
          </w:p>
          <w:p w:rsidR="002238A0" w:rsidRDefault="002238A0" w:rsidP="007A5000">
            <w:pPr>
              <w:jc w:val="center"/>
              <w:rPr>
                <w:rFonts w:ascii="Arial Narrow" w:hAnsi="Arial Narrow"/>
                <w:sz w:val="24"/>
                <w:szCs w:val="24"/>
              </w:rPr>
            </w:pPr>
            <w:r>
              <w:rPr>
                <w:rFonts w:ascii="Arial Narrow" w:hAnsi="Arial Narrow"/>
                <w:sz w:val="24"/>
                <w:szCs w:val="24"/>
              </w:rPr>
              <w:t xml:space="preserve">Representante a la Cámara </w:t>
            </w:r>
          </w:p>
        </w:tc>
      </w:tr>
      <w:tr w:rsidR="002238A0" w:rsidTr="007A5000">
        <w:tc>
          <w:tcPr>
            <w:tcW w:w="4414" w:type="dxa"/>
          </w:tcPr>
          <w:p w:rsidR="002238A0" w:rsidRDefault="002238A0" w:rsidP="007A5000">
            <w:pPr>
              <w:spacing w:after="0"/>
              <w:jc w:val="center"/>
              <w:rPr>
                <w:rFonts w:ascii="Arial Narrow" w:hAnsi="Arial Narrow"/>
                <w:b/>
                <w:sz w:val="24"/>
                <w:szCs w:val="24"/>
              </w:rPr>
            </w:pPr>
          </w:p>
          <w:p w:rsidR="002238A0" w:rsidRDefault="002238A0" w:rsidP="007A5000">
            <w:pPr>
              <w:spacing w:after="0"/>
              <w:jc w:val="center"/>
              <w:rPr>
                <w:rFonts w:ascii="Arial Narrow" w:hAnsi="Arial Narrow"/>
                <w:b/>
                <w:sz w:val="24"/>
                <w:szCs w:val="24"/>
              </w:rPr>
            </w:pPr>
          </w:p>
          <w:p w:rsidR="007A5000" w:rsidRDefault="007A5000" w:rsidP="007A5000">
            <w:pPr>
              <w:spacing w:after="0"/>
              <w:rPr>
                <w:rFonts w:ascii="Arial Narrow" w:hAnsi="Arial Narrow"/>
                <w:b/>
                <w:sz w:val="24"/>
                <w:szCs w:val="24"/>
              </w:rPr>
            </w:pPr>
          </w:p>
          <w:p w:rsidR="007A5000" w:rsidRDefault="007A5000" w:rsidP="007A5000">
            <w:pPr>
              <w:spacing w:after="0"/>
              <w:rPr>
                <w:rFonts w:ascii="Arial Narrow" w:hAnsi="Arial Narrow"/>
                <w:b/>
                <w:sz w:val="24"/>
                <w:szCs w:val="24"/>
              </w:rPr>
            </w:pPr>
          </w:p>
          <w:p w:rsidR="007A5000" w:rsidRDefault="007A5000" w:rsidP="007A5000">
            <w:pPr>
              <w:spacing w:after="0"/>
              <w:rPr>
                <w:rFonts w:ascii="Arial Narrow" w:hAnsi="Arial Narrow"/>
                <w:b/>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GUSTAVO BOLIVAR</w:t>
            </w:r>
          </w:p>
          <w:p w:rsidR="002238A0" w:rsidRDefault="002238A0" w:rsidP="007A5000">
            <w:pPr>
              <w:spacing w:after="0"/>
              <w:jc w:val="center"/>
              <w:rPr>
                <w:rFonts w:ascii="Arial Narrow" w:hAnsi="Arial Narrow"/>
                <w:sz w:val="24"/>
                <w:szCs w:val="24"/>
              </w:rPr>
            </w:pPr>
            <w:r>
              <w:rPr>
                <w:rFonts w:ascii="Arial Narrow" w:hAnsi="Arial Narrow"/>
                <w:sz w:val="24"/>
                <w:szCs w:val="24"/>
              </w:rPr>
              <w:t>Senador de la República</w:t>
            </w:r>
          </w:p>
        </w:tc>
        <w:tc>
          <w:tcPr>
            <w:tcW w:w="4414" w:type="dxa"/>
          </w:tcPr>
          <w:p w:rsidR="002238A0" w:rsidRDefault="002238A0" w:rsidP="007A5000">
            <w:pPr>
              <w:rPr>
                <w:rFonts w:ascii="Arial Narrow" w:hAnsi="Arial Narrow"/>
                <w:sz w:val="24"/>
                <w:szCs w:val="24"/>
              </w:rPr>
            </w:pPr>
          </w:p>
          <w:p w:rsidR="007A5000" w:rsidRDefault="007A5000" w:rsidP="007A5000">
            <w:pPr>
              <w:rPr>
                <w:rFonts w:ascii="Arial Narrow" w:hAnsi="Arial Narrow"/>
                <w:sz w:val="24"/>
                <w:szCs w:val="24"/>
              </w:rPr>
            </w:pPr>
          </w:p>
          <w:p w:rsidR="007A5000" w:rsidRDefault="007A500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Pr="00C5722F" w:rsidRDefault="002238A0" w:rsidP="007A5000">
            <w:pPr>
              <w:spacing w:after="0"/>
              <w:jc w:val="center"/>
              <w:rPr>
                <w:rFonts w:ascii="Arial Narrow" w:hAnsi="Arial Narrow"/>
                <w:b/>
                <w:sz w:val="24"/>
                <w:szCs w:val="24"/>
              </w:rPr>
            </w:pPr>
            <w:r>
              <w:rPr>
                <w:rFonts w:ascii="Arial Narrow" w:hAnsi="Arial Narrow"/>
                <w:b/>
                <w:sz w:val="24"/>
                <w:szCs w:val="24"/>
              </w:rPr>
              <w:t>ABEL DAVID JARAMILLO</w:t>
            </w:r>
          </w:p>
          <w:p w:rsidR="002238A0" w:rsidRDefault="002238A0" w:rsidP="007A5000">
            <w:pPr>
              <w:spacing w:after="0"/>
              <w:jc w:val="center"/>
              <w:rPr>
                <w:rFonts w:ascii="Arial Narrow" w:hAnsi="Arial Narrow"/>
                <w:sz w:val="24"/>
                <w:szCs w:val="24"/>
              </w:rPr>
            </w:pPr>
            <w:r>
              <w:rPr>
                <w:rFonts w:ascii="Arial Narrow" w:hAnsi="Arial Narrow"/>
                <w:sz w:val="24"/>
                <w:szCs w:val="24"/>
              </w:rPr>
              <w:t>Representante a la Cámara</w:t>
            </w:r>
          </w:p>
        </w:tc>
      </w:tr>
      <w:tr w:rsidR="002238A0" w:rsidTr="007A5000">
        <w:tc>
          <w:tcPr>
            <w:tcW w:w="4414" w:type="dxa"/>
          </w:tcPr>
          <w:p w:rsidR="002238A0" w:rsidRDefault="002238A0" w:rsidP="007A5000">
            <w:pPr>
              <w:jc w:val="cente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jc w:val="cente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jc w:val="cente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jc w:val="center"/>
              <w:rPr>
                <w:rFonts w:ascii="Arial Narrow" w:hAnsi="Arial Narrow"/>
                <w:sz w:val="24"/>
                <w:szCs w:val="24"/>
              </w:rPr>
            </w:pPr>
          </w:p>
        </w:tc>
        <w:tc>
          <w:tcPr>
            <w:tcW w:w="4414" w:type="dxa"/>
          </w:tcPr>
          <w:p w:rsidR="002238A0" w:rsidRDefault="002238A0" w:rsidP="007A5000">
            <w:pPr>
              <w:jc w:val="cente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jc w:val="cente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jc w:val="cente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spacing w:after="0"/>
              <w:jc w:val="center"/>
              <w:rPr>
                <w:rFonts w:ascii="Arial Narrow" w:hAnsi="Arial Narrow"/>
                <w:b/>
                <w:sz w:val="24"/>
                <w:szCs w:val="24"/>
              </w:rPr>
            </w:pP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c>
          <w:tcPr>
            <w:tcW w:w="441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1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bl>
    <w:p w:rsidR="007B31C6" w:rsidRDefault="007B31C6" w:rsidP="007B31C6">
      <w:pPr>
        <w:jc w:val="center"/>
        <w:rPr>
          <w:rFonts w:ascii="Arial Narrow" w:hAnsi="Arial Narrow"/>
          <w:b/>
          <w:sz w:val="24"/>
          <w:szCs w:val="24"/>
        </w:rPr>
      </w:pPr>
      <w:r w:rsidRPr="006E0F40">
        <w:rPr>
          <w:rFonts w:ascii="Arial Narrow" w:hAnsi="Arial Narrow"/>
          <w:b/>
          <w:sz w:val="24"/>
          <w:szCs w:val="24"/>
        </w:rPr>
        <w:lastRenderedPageBreak/>
        <w:t>EXPOSICIÓN DE MOTIVOS</w:t>
      </w:r>
    </w:p>
    <w:p w:rsidR="007B31C6" w:rsidRDefault="007B31C6" w:rsidP="007B31C6">
      <w:pPr>
        <w:pStyle w:val="Prrafodelista"/>
        <w:numPr>
          <w:ilvl w:val="0"/>
          <w:numId w:val="1"/>
        </w:numPr>
        <w:rPr>
          <w:rFonts w:ascii="Arial Narrow" w:hAnsi="Arial Narrow"/>
          <w:b/>
          <w:sz w:val="24"/>
          <w:szCs w:val="24"/>
        </w:rPr>
      </w:pPr>
      <w:r>
        <w:rPr>
          <w:rFonts w:ascii="Arial Narrow" w:hAnsi="Arial Narrow"/>
          <w:b/>
          <w:sz w:val="24"/>
          <w:szCs w:val="24"/>
        </w:rPr>
        <w:t xml:space="preserve">Objetivo del Proyecto de Ley </w:t>
      </w:r>
    </w:p>
    <w:p w:rsidR="007B31C6" w:rsidRDefault="007B31C6" w:rsidP="007B31C6">
      <w:pPr>
        <w:jc w:val="both"/>
        <w:rPr>
          <w:rFonts w:ascii="Arial Narrow" w:hAnsi="Arial Narrow" w:cs="Arial"/>
          <w:sz w:val="24"/>
          <w:szCs w:val="24"/>
          <w:shd w:val="clear" w:color="auto" w:fill="FFFFFF"/>
        </w:rPr>
      </w:pPr>
      <w:r w:rsidRPr="00097849">
        <w:rPr>
          <w:rFonts w:ascii="Arial Narrow" w:hAnsi="Arial Narrow"/>
          <w:sz w:val="24"/>
          <w:szCs w:val="24"/>
        </w:rPr>
        <w:t>El proyecto de ley que se presenta al Congreso de la República busca generar medidas afirmativas para el acceso de las mujeres jóvenes al mercado laboral que aborden las brechas de desigualdad en el acceso y la permanencia en el empleo. Pues</w:t>
      </w:r>
      <w:r w:rsidRPr="00097849">
        <w:rPr>
          <w:rFonts w:ascii="Arial Narrow" w:hAnsi="Arial Narrow" w:cs="Arial"/>
          <w:sz w:val="24"/>
          <w:szCs w:val="24"/>
          <w:shd w:val="clear" w:color="auto" w:fill="FFFFFF"/>
        </w:rPr>
        <w:t xml:space="preserve"> ser mujer y joven todavía constituye un doble desafío para la generación actual de mujeres que buscan un empleo</w:t>
      </w:r>
      <w:r>
        <w:rPr>
          <w:rFonts w:ascii="Arial Narrow" w:hAnsi="Arial Narrow" w:cs="Arial"/>
          <w:sz w:val="24"/>
          <w:szCs w:val="24"/>
          <w:shd w:val="clear" w:color="auto" w:fill="FFFFFF"/>
        </w:rPr>
        <w:t xml:space="preserve">, </w:t>
      </w:r>
    </w:p>
    <w:p w:rsidR="007B31C6" w:rsidRPr="00FB5CC2" w:rsidRDefault="007B31C6" w:rsidP="007B31C6">
      <w:pPr>
        <w:jc w:val="both"/>
        <w:rPr>
          <w:rFonts w:ascii="Arial Narrow" w:hAnsi="Arial Narrow" w:cs="Arial"/>
          <w:sz w:val="24"/>
          <w:szCs w:val="24"/>
          <w:shd w:val="clear" w:color="auto" w:fill="FFFFFF"/>
        </w:rPr>
      </w:pPr>
      <w:r w:rsidRPr="00FB5CC2">
        <w:rPr>
          <w:rFonts w:ascii="Arial Narrow" w:hAnsi="Arial Narrow" w:cs="Arial"/>
          <w:sz w:val="24"/>
          <w:szCs w:val="24"/>
          <w:shd w:val="clear" w:color="auto" w:fill="FFFFFF"/>
        </w:rPr>
        <w:t xml:space="preserve">Si bien la ley 1780 de 2016 busca generar medidas de fomento del empleo para los jóvenes entre 18 y 28 años de edad, a través de medidas para el diseño y la ejecución de políticas de empleo y la promoción de mecanismos de vinculación laboral con enfoque diferencial, dentro de ella no se reconocen las brechas de genero existentes dentro de la población juvenil </w:t>
      </w:r>
      <w:r w:rsidR="00CF6577" w:rsidRPr="00FB5CC2">
        <w:rPr>
          <w:rFonts w:ascii="Arial Narrow" w:hAnsi="Arial Narrow" w:cs="Arial"/>
          <w:sz w:val="24"/>
          <w:szCs w:val="24"/>
          <w:shd w:val="clear" w:color="auto" w:fill="FFFFFF"/>
        </w:rPr>
        <w:t>y,</w:t>
      </w:r>
      <w:r w:rsidRPr="00FB5CC2">
        <w:rPr>
          <w:rFonts w:ascii="Arial Narrow" w:hAnsi="Arial Narrow" w:cs="Arial"/>
          <w:sz w:val="24"/>
          <w:szCs w:val="24"/>
          <w:shd w:val="clear" w:color="auto" w:fill="FFFFFF"/>
        </w:rPr>
        <w:t xml:space="preserve"> por tanto, la necesidad de establecer medidas afirmativas para equiparar dichas desigualdades en el mundo laboral. Ello teniendo en cuenta que según el Informe de la OIT </w:t>
      </w:r>
      <w:r>
        <w:rPr>
          <w:rFonts w:ascii="Arial Narrow" w:hAnsi="Arial Narrow" w:cs="Arial"/>
          <w:sz w:val="24"/>
          <w:szCs w:val="24"/>
          <w:shd w:val="clear" w:color="auto" w:fill="FFFFFF"/>
        </w:rPr>
        <w:t>s</w:t>
      </w:r>
      <w:r w:rsidRPr="00FB5CC2">
        <w:rPr>
          <w:rFonts w:ascii="Arial Narrow" w:hAnsi="Arial Narrow" w:cs="Arial"/>
          <w:sz w:val="24"/>
          <w:szCs w:val="24"/>
          <w:shd w:val="clear" w:color="auto" w:fill="FFFFFF"/>
        </w:rPr>
        <w:t xml:space="preserve">obre </w:t>
      </w:r>
      <w:r w:rsidRPr="00FB5CC2">
        <w:rPr>
          <w:rFonts w:ascii="Arial Narrow" w:hAnsi="Arial Narrow"/>
          <w:sz w:val="24"/>
          <w:szCs w:val="24"/>
        </w:rPr>
        <w:t xml:space="preserve">Tendencias </w:t>
      </w:r>
      <w:r>
        <w:rPr>
          <w:rFonts w:ascii="Arial Narrow" w:hAnsi="Arial Narrow"/>
          <w:sz w:val="24"/>
          <w:szCs w:val="24"/>
        </w:rPr>
        <w:t>M</w:t>
      </w:r>
      <w:r w:rsidRPr="00FB5CC2">
        <w:rPr>
          <w:rFonts w:ascii="Arial Narrow" w:hAnsi="Arial Narrow"/>
          <w:sz w:val="24"/>
          <w:szCs w:val="24"/>
        </w:rPr>
        <w:t xml:space="preserve">undiales del </w:t>
      </w:r>
      <w:r>
        <w:rPr>
          <w:rFonts w:ascii="Arial Narrow" w:hAnsi="Arial Narrow"/>
          <w:sz w:val="24"/>
          <w:szCs w:val="24"/>
        </w:rPr>
        <w:t>E</w:t>
      </w:r>
      <w:r w:rsidRPr="00FB5CC2">
        <w:rPr>
          <w:rFonts w:ascii="Arial Narrow" w:hAnsi="Arial Narrow"/>
          <w:sz w:val="24"/>
          <w:szCs w:val="24"/>
        </w:rPr>
        <w:t xml:space="preserve">mpleo </w:t>
      </w:r>
      <w:r>
        <w:rPr>
          <w:rFonts w:ascii="Arial Narrow" w:hAnsi="Arial Narrow"/>
          <w:sz w:val="24"/>
          <w:szCs w:val="24"/>
        </w:rPr>
        <w:t>J</w:t>
      </w:r>
      <w:r w:rsidRPr="00FB5CC2">
        <w:rPr>
          <w:rFonts w:ascii="Arial Narrow" w:hAnsi="Arial Narrow"/>
          <w:sz w:val="24"/>
          <w:szCs w:val="24"/>
        </w:rPr>
        <w:t>uvenil 2017</w:t>
      </w:r>
      <w:r w:rsidRPr="00FB5CC2">
        <w:rPr>
          <w:rFonts w:ascii="Arial Narrow" w:hAnsi="Arial Narrow" w:cs="Arial"/>
          <w:sz w:val="24"/>
          <w:szCs w:val="24"/>
          <w:shd w:val="clear" w:color="auto" w:fill="FFFFFF"/>
        </w:rPr>
        <w:t xml:space="preserve"> “</w:t>
      </w:r>
      <w:r w:rsidRPr="00FB5CC2">
        <w:rPr>
          <w:rFonts w:ascii="Arial Narrow" w:hAnsi="Arial Narrow"/>
          <w:sz w:val="24"/>
          <w:szCs w:val="24"/>
          <w:shd w:val="clear" w:color="auto" w:fill="FFFFFF"/>
        </w:rPr>
        <w:t>las persistentes vulnerabilidades que afectan a las mujeres jóvenes en el mercado laboral. En 2017, la tasa mundial de participación de las mujeres en la fuerza laboral es 16,6 puntos porcentuales inferior a la de los hombres jóvenes. Las tasas de desempleo de las mujeres jóvenes son además significativamente más altas que las de los hombres jóvenes, y la brecha de género en la tasa de jóvenes que no trabajan, no estudian, ni reciben formación es aún más amplia. A nivel mundial, esta tasa es de 34,4 por ciento entre las mujeres jóvenes, frente a 9,8 por ciento entre los hombres jóvenes”</w:t>
      </w:r>
      <w:r w:rsidRPr="00FB5CC2">
        <w:rPr>
          <w:rStyle w:val="Refdenotaalpie"/>
          <w:rFonts w:ascii="Arial Narrow" w:hAnsi="Arial Narrow"/>
          <w:sz w:val="24"/>
          <w:szCs w:val="24"/>
        </w:rPr>
        <w:footnoteReference w:id="1"/>
      </w:r>
      <w:r w:rsidRPr="00FB5CC2">
        <w:rPr>
          <w:rFonts w:ascii="Arial Narrow" w:hAnsi="Arial Narrow"/>
          <w:sz w:val="24"/>
          <w:szCs w:val="24"/>
          <w:shd w:val="clear" w:color="auto" w:fill="FFFFFF"/>
        </w:rPr>
        <w:t>. </w:t>
      </w:r>
      <w:r>
        <w:rPr>
          <w:rFonts w:ascii="Arial Narrow" w:hAnsi="Arial Narrow" w:cs="Arial"/>
          <w:sz w:val="24"/>
          <w:szCs w:val="24"/>
          <w:shd w:val="clear" w:color="auto" w:fill="FFFFFF"/>
        </w:rPr>
        <w:t xml:space="preserve">Por lo anterior, el presente proyecto pretende fortalecer la ley 1780 de 2016 para que además de contar con un enfoque diferencial por ciclo vital, incluya el enfoque de género como medida esencial para equiparar la desigualdad en el empleo, tanto por razones de edad, como de sexo. </w:t>
      </w:r>
    </w:p>
    <w:p w:rsidR="007B31C6" w:rsidRDefault="007B31C6" w:rsidP="007B31C6">
      <w:pPr>
        <w:pStyle w:val="Prrafodelista"/>
        <w:numPr>
          <w:ilvl w:val="0"/>
          <w:numId w:val="1"/>
        </w:numPr>
        <w:rPr>
          <w:rFonts w:ascii="Arial Narrow" w:hAnsi="Arial Narrow"/>
          <w:b/>
          <w:sz w:val="24"/>
          <w:szCs w:val="24"/>
        </w:rPr>
      </w:pPr>
      <w:r>
        <w:rPr>
          <w:rFonts w:ascii="Arial Narrow" w:hAnsi="Arial Narrow"/>
          <w:b/>
          <w:sz w:val="24"/>
          <w:szCs w:val="24"/>
        </w:rPr>
        <w:t xml:space="preserve">Necesidad del proyecto de ley </w:t>
      </w:r>
    </w:p>
    <w:p w:rsidR="007B31C6" w:rsidRDefault="007B31C6" w:rsidP="007B31C6">
      <w:pPr>
        <w:pStyle w:val="Prrafodelista"/>
        <w:rPr>
          <w:rFonts w:ascii="Arial Narrow" w:hAnsi="Arial Narrow"/>
          <w:b/>
          <w:sz w:val="24"/>
          <w:szCs w:val="24"/>
        </w:rPr>
      </w:pPr>
    </w:p>
    <w:p w:rsidR="007B31C6" w:rsidRPr="006E0F40" w:rsidRDefault="007B31C6" w:rsidP="007B31C6">
      <w:pPr>
        <w:pStyle w:val="Prrafodelista"/>
        <w:numPr>
          <w:ilvl w:val="1"/>
          <w:numId w:val="1"/>
        </w:numPr>
        <w:rPr>
          <w:rFonts w:ascii="Arial Narrow" w:hAnsi="Arial Narrow"/>
          <w:b/>
          <w:sz w:val="24"/>
          <w:szCs w:val="24"/>
        </w:rPr>
      </w:pPr>
      <w:r w:rsidRPr="006E0F40">
        <w:rPr>
          <w:rFonts w:ascii="Arial Narrow" w:hAnsi="Arial Narrow"/>
          <w:b/>
          <w:sz w:val="24"/>
          <w:szCs w:val="24"/>
        </w:rPr>
        <w:t xml:space="preserve">La preocupante “inactividad” económica de las mujeres en edad de trabajar.  </w:t>
      </w:r>
    </w:p>
    <w:p w:rsidR="007B31C6" w:rsidRPr="00097849"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La primera estadística que da cuenta de las barreras estructurales que le</w:t>
      </w:r>
      <w:r w:rsidR="005D6D6D">
        <w:rPr>
          <w:rFonts w:ascii="Arial Narrow" w:eastAsia="Arial Narrow" w:hAnsi="Arial Narrow" w:cs="Arial Narrow"/>
          <w:sz w:val="24"/>
          <w:szCs w:val="24"/>
        </w:rPr>
        <w:t>s</w:t>
      </w:r>
      <w:r w:rsidRPr="00097849">
        <w:rPr>
          <w:rFonts w:ascii="Arial Narrow" w:eastAsia="Arial Narrow" w:hAnsi="Arial Narrow" w:cs="Arial Narrow"/>
          <w:sz w:val="24"/>
          <w:szCs w:val="24"/>
        </w:rPr>
        <w:t xml:space="preserve"> impiden a las mujeres acceder a la vida económica en igualdad de condiciones que los hombres, es la Tasa Global de Participación, que mide la proporción en la que las personas en edad de trabajar se encuentran económicamente activas, bien sea desarrollando alguna actividad laboral o buscando empleo persistentemente. De acuerdo con los registros del DANE, desde el primer trimestre móvil del año 2001 hasta el más reciente trimestre móvil del año 2019, en promedio, la TGP de los hombres llega a 74,2%, mientras que en el caso de las mujeres sólo llega al 51,2%. Esto quiere decir que 3 de cada 4 </w:t>
      </w:r>
      <w:r w:rsidRPr="00097849">
        <w:rPr>
          <w:rFonts w:ascii="Arial Narrow" w:eastAsia="Arial Narrow" w:hAnsi="Arial Narrow" w:cs="Arial Narrow"/>
          <w:sz w:val="24"/>
          <w:szCs w:val="24"/>
        </w:rPr>
        <w:lastRenderedPageBreak/>
        <w:t xml:space="preserve">hombres en edad de trabajar se consideran económicamente activos, mientras que en el caso de las mujeres sólo 2 de cada 4 alcanzan esta condición. </w:t>
      </w:r>
    </w:p>
    <w:p w:rsidR="007B31C6"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 xml:space="preserve">De allí se deduce en sentido inverso, que la tasa de inactividad económica en el caso de las mujeres es mucho mayor que en el de los hombres (49% y 26% respectivamente). Los resultados de la Gran Encuesta Integrada de Hogares del trimestre móvil más reciente del año 2019, muestran que la mayoría (57%) de los hombres económicamente inactivos se encuentran estudiando y dedicados a actividades diversas (35%), mientras que sólo el 8% se dedican a oficios del hogar. En contraste, dentro del grupo de las mujeres económicamente inactivas predominan las que se dedican a oficios del hogar (59%) y a estudiar (28%), con un registro muy bajo de las que están concentradas en otras actividades (13%). </w:t>
      </w:r>
    </w:p>
    <w:tbl>
      <w:tblPr>
        <w:tblStyle w:val="Tablaconcuadrcula"/>
        <w:tblW w:w="0" w:type="auto"/>
        <w:tblLook w:val="04A0" w:firstRow="1" w:lastRow="0" w:firstColumn="1" w:lastColumn="0" w:noHBand="0" w:noVBand="1"/>
      </w:tblPr>
      <w:tblGrid>
        <w:gridCol w:w="4159"/>
        <w:gridCol w:w="4669"/>
      </w:tblGrid>
      <w:tr w:rsidR="00A822ED" w:rsidTr="007A5000">
        <w:tc>
          <w:tcPr>
            <w:tcW w:w="8828" w:type="dxa"/>
            <w:gridSpan w:val="2"/>
          </w:tcPr>
          <w:p w:rsidR="00730D9F" w:rsidRPr="00137B2D" w:rsidRDefault="00730D9F" w:rsidP="00A822ED">
            <w:pPr>
              <w:spacing w:after="0"/>
              <w:jc w:val="center"/>
              <w:rPr>
                <w:rFonts w:ascii="Arial Narrow" w:eastAsia="Arial Narrow" w:hAnsi="Arial Narrow" w:cs="Arial Narrow"/>
                <w:b/>
                <w:sz w:val="26"/>
                <w:szCs w:val="26"/>
              </w:rPr>
            </w:pPr>
            <w:r w:rsidRPr="00137B2D">
              <w:rPr>
                <w:rFonts w:ascii="Arial Narrow" w:eastAsia="Arial Narrow" w:hAnsi="Arial Narrow" w:cs="Arial Narrow"/>
                <w:b/>
                <w:sz w:val="26"/>
                <w:szCs w:val="26"/>
              </w:rPr>
              <w:t>Población Económicamente Inactiva Total Nacional 37%</w:t>
            </w:r>
          </w:p>
          <w:p w:rsidR="00A822ED" w:rsidRDefault="00A822ED" w:rsidP="00730D9F">
            <w:pP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Trimestre Móvil feb-abr 2019</w:t>
            </w:r>
          </w:p>
        </w:tc>
      </w:tr>
      <w:tr w:rsidR="00730D9F" w:rsidTr="007A5000">
        <w:tc>
          <w:tcPr>
            <w:tcW w:w="8828" w:type="dxa"/>
            <w:gridSpan w:val="2"/>
          </w:tcPr>
          <w:p w:rsidR="00730D9F" w:rsidRPr="00730D9F" w:rsidRDefault="00730D9F" w:rsidP="00730D9F">
            <w:pPr>
              <w:spacing w:before="240"/>
              <w:jc w:val="center"/>
              <w:rPr>
                <w:rFonts w:ascii="Arial Narrow" w:eastAsia="Arial Narrow" w:hAnsi="Arial Narrow" w:cs="Arial Narrow"/>
                <w:b/>
                <w:sz w:val="24"/>
                <w:szCs w:val="24"/>
              </w:rPr>
            </w:pPr>
            <w:r w:rsidRPr="00730D9F">
              <w:rPr>
                <w:rFonts w:ascii="Arial Narrow" w:eastAsia="Arial Narrow" w:hAnsi="Arial Narrow" w:cs="Arial Narrow"/>
                <w:b/>
                <w:sz w:val="24"/>
                <w:szCs w:val="24"/>
              </w:rPr>
              <w:t>Población Económicamente Inactiva Desagregada Según Sexo</w:t>
            </w:r>
          </w:p>
          <w:p w:rsidR="00730D9F" w:rsidRDefault="00730D9F" w:rsidP="00730D9F">
            <w:pPr>
              <w:jc w:val="center"/>
              <w:rPr>
                <w:rFonts w:ascii="Arial Narrow" w:eastAsia="Arial Narrow" w:hAnsi="Arial Narrow" w:cs="Arial Narrow"/>
                <w:sz w:val="24"/>
                <w:szCs w:val="24"/>
              </w:rPr>
            </w:pPr>
            <w:r w:rsidRPr="00730D9F">
              <w:rPr>
                <w:rFonts w:ascii="Arial Narrow" w:eastAsia="Arial Narrow" w:hAnsi="Arial Narrow" w:cs="Arial Narrow"/>
                <w:noProof/>
                <w:sz w:val="24"/>
                <w:szCs w:val="24"/>
                <w:lang w:eastAsia="es-CO"/>
              </w:rPr>
              <w:drawing>
                <wp:inline distT="0" distB="0" distL="0" distR="0">
                  <wp:extent cx="2857500" cy="2091939"/>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661" cy="2094985"/>
                          </a:xfrm>
                          <a:prstGeom prst="rect">
                            <a:avLst/>
                          </a:prstGeom>
                          <a:noFill/>
                          <a:ln>
                            <a:noFill/>
                          </a:ln>
                        </pic:spPr>
                      </pic:pic>
                    </a:graphicData>
                  </a:graphic>
                </wp:inline>
              </w:drawing>
            </w:r>
          </w:p>
        </w:tc>
      </w:tr>
      <w:tr w:rsidR="00095D13" w:rsidTr="00A822ED">
        <w:tc>
          <w:tcPr>
            <w:tcW w:w="4159" w:type="dxa"/>
          </w:tcPr>
          <w:p w:rsidR="00A822ED" w:rsidRPr="00A822ED" w:rsidRDefault="00A822ED" w:rsidP="00A822ED">
            <w:pPr>
              <w:spacing w:after="0"/>
              <w:jc w:val="center"/>
              <w:rPr>
                <w:rFonts w:ascii="Arial Narrow" w:eastAsia="Arial Narrow" w:hAnsi="Arial Narrow" w:cs="Arial Narrow"/>
                <w:b/>
                <w:sz w:val="24"/>
                <w:szCs w:val="24"/>
              </w:rPr>
            </w:pPr>
            <w:r w:rsidRPr="00A822ED">
              <w:rPr>
                <w:rFonts w:ascii="Arial Narrow" w:eastAsia="Arial Narrow" w:hAnsi="Arial Narrow" w:cs="Arial Narrow"/>
                <w:b/>
                <w:sz w:val="24"/>
                <w:szCs w:val="24"/>
              </w:rPr>
              <w:t>Hombres Inactivos</w:t>
            </w:r>
          </w:p>
          <w:p w:rsidR="00A822ED" w:rsidRPr="00A822ED" w:rsidRDefault="00A822ED" w:rsidP="00A822ED">
            <w:pPr>
              <w:spacing w:after="0"/>
              <w:jc w:val="center"/>
              <w:rPr>
                <w:rFonts w:ascii="Arial Narrow" w:eastAsia="Arial Narrow" w:hAnsi="Arial Narrow" w:cs="Arial Narrow"/>
                <w:b/>
                <w:sz w:val="24"/>
                <w:szCs w:val="24"/>
              </w:rPr>
            </w:pPr>
            <w:r w:rsidRPr="00A822ED">
              <w:rPr>
                <w:rFonts w:ascii="Arial Narrow" w:eastAsia="Arial Narrow" w:hAnsi="Arial Narrow" w:cs="Arial Narrow"/>
                <w:b/>
                <w:sz w:val="24"/>
                <w:szCs w:val="24"/>
              </w:rPr>
              <w:t>Desagregados por Concepto</w:t>
            </w:r>
          </w:p>
        </w:tc>
        <w:tc>
          <w:tcPr>
            <w:tcW w:w="4669" w:type="dxa"/>
          </w:tcPr>
          <w:p w:rsidR="00A822ED" w:rsidRPr="00A822ED" w:rsidRDefault="00A822ED" w:rsidP="00A822ED">
            <w:pPr>
              <w:spacing w:after="0"/>
              <w:jc w:val="center"/>
              <w:rPr>
                <w:rFonts w:ascii="Arial Narrow" w:eastAsia="Arial Narrow" w:hAnsi="Arial Narrow" w:cs="Arial Narrow"/>
                <w:b/>
                <w:sz w:val="24"/>
                <w:szCs w:val="24"/>
              </w:rPr>
            </w:pPr>
            <w:r w:rsidRPr="00A822ED">
              <w:rPr>
                <w:rFonts w:ascii="Arial Narrow" w:eastAsia="Arial Narrow" w:hAnsi="Arial Narrow" w:cs="Arial Narrow"/>
                <w:b/>
                <w:sz w:val="24"/>
                <w:szCs w:val="24"/>
              </w:rPr>
              <w:t>Hombres Inactivos</w:t>
            </w:r>
          </w:p>
          <w:p w:rsidR="00095D13" w:rsidRPr="00A822ED" w:rsidRDefault="00A822ED" w:rsidP="00A822ED">
            <w:pPr>
              <w:jc w:val="center"/>
              <w:rPr>
                <w:rFonts w:ascii="Arial Narrow" w:eastAsia="Arial Narrow" w:hAnsi="Arial Narrow" w:cs="Arial Narrow"/>
                <w:b/>
                <w:sz w:val="24"/>
                <w:szCs w:val="24"/>
              </w:rPr>
            </w:pPr>
            <w:r w:rsidRPr="00A822ED">
              <w:rPr>
                <w:rFonts w:ascii="Arial Narrow" w:eastAsia="Arial Narrow" w:hAnsi="Arial Narrow" w:cs="Arial Narrow"/>
                <w:b/>
                <w:sz w:val="24"/>
                <w:szCs w:val="24"/>
              </w:rPr>
              <w:t xml:space="preserve">Desagregados por </w:t>
            </w:r>
            <w:r>
              <w:rPr>
                <w:rFonts w:ascii="Arial Narrow" w:eastAsia="Arial Narrow" w:hAnsi="Arial Narrow" w:cs="Arial Narrow"/>
                <w:b/>
                <w:sz w:val="24"/>
                <w:szCs w:val="24"/>
              </w:rPr>
              <w:t>Concepto</w:t>
            </w:r>
          </w:p>
        </w:tc>
      </w:tr>
      <w:tr w:rsidR="00095D13" w:rsidTr="00A822ED">
        <w:tc>
          <w:tcPr>
            <w:tcW w:w="4159" w:type="dxa"/>
          </w:tcPr>
          <w:p w:rsidR="00095D13" w:rsidRDefault="00095D13" w:rsidP="00095D13">
            <w:pPr>
              <w:spacing w:after="0"/>
              <w:jc w:val="both"/>
              <w:rPr>
                <w:rFonts w:ascii="Arial Narrow" w:eastAsia="Arial Narrow" w:hAnsi="Arial Narrow" w:cs="Arial Narrow"/>
                <w:sz w:val="24"/>
                <w:szCs w:val="24"/>
              </w:rPr>
            </w:pPr>
            <w:r w:rsidRPr="00095D13">
              <w:rPr>
                <w:rFonts w:ascii="Arial Narrow" w:eastAsia="Arial Narrow" w:hAnsi="Arial Narrow" w:cs="Arial Narrow"/>
                <w:noProof/>
                <w:sz w:val="24"/>
                <w:szCs w:val="24"/>
                <w:lang w:eastAsia="es-CO"/>
              </w:rPr>
              <w:drawing>
                <wp:inline distT="0" distB="0" distL="0" distR="0">
                  <wp:extent cx="2434045" cy="198120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633" cy="2010981"/>
                          </a:xfrm>
                          <a:prstGeom prst="rect">
                            <a:avLst/>
                          </a:prstGeom>
                          <a:noFill/>
                          <a:ln>
                            <a:noFill/>
                          </a:ln>
                        </pic:spPr>
                      </pic:pic>
                    </a:graphicData>
                  </a:graphic>
                </wp:inline>
              </w:drawing>
            </w:r>
          </w:p>
        </w:tc>
        <w:tc>
          <w:tcPr>
            <w:tcW w:w="4669" w:type="dxa"/>
          </w:tcPr>
          <w:p w:rsidR="00095D13" w:rsidRDefault="00095D13" w:rsidP="00095D13">
            <w:pPr>
              <w:spacing w:after="0"/>
              <w:jc w:val="both"/>
              <w:rPr>
                <w:rFonts w:ascii="Arial Narrow" w:eastAsia="Arial Narrow" w:hAnsi="Arial Narrow" w:cs="Arial Narrow"/>
                <w:sz w:val="24"/>
                <w:szCs w:val="24"/>
              </w:rPr>
            </w:pPr>
            <w:r w:rsidRPr="00095D13">
              <w:rPr>
                <w:rFonts w:ascii="Arial Narrow" w:eastAsia="Arial Narrow" w:hAnsi="Arial Narrow" w:cs="Arial Narrow"/>
                <w:noProof/>
                <w:sz w:val="24"/>
                <w:szCs w:val="24"/>
                <w:lang w:eastAsia="es-CO"/>
              </w:rPr>
              <w:drawing>
                <wp:inline distT="0" distB="0" distL="0" distR="0">
                  <wp:extent cx="2828222" cy="20002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982" cy="2019883"/>
                          </a:xfrm>
                          <a:prstGeom prst="rect">
                            <a:avLst/>
                          </a:prstGeom>
                          <a:noFill/>
                          <a:ln>
                            <a:noFill/>
                          </a:ln>
                        </pic:spPr>
                      </pic:pic>
                    </a:graphicData>
                  </a:graphic>
                </wp:inline>
              </w:drawing>
            </w:r>
          </w:p>
        </w:tc>
      </w:tr>
      <w:tr w:rsidR="00730D9F" w:rsidTr="007A5000">
        <w:tc>
          <w:tcPr>
            <w:tcW w:w="8828" w:type="dxa"/>
            <w:gridSpan w:val="2"/>
          </w:tcPr>
          <w:p w:rsidR="00730D9F" w:rsidRPr="00730D9F" w:rsidRDefault="00730D9F" w:rsidP="007B0C83">
            <w:pPr>
              <w:spacing w:after="0"/>
              <w:jc w:val="center"/>
              <w:rPr>
                <w:rFonts w:ascii="Arial Narrow" w:hAnsi="Arial Narrow"/>
                <w:sz w:val="16"/>
                <w:szCs w:val="16"/>
              </w:rPr>
            </w:pPr>
            <w:r>
              <w:rPr>
                <w:rFonts w:ascii="Arial Narrow" w:hAnsi="Arial Narrow"/>
                <w:sz w:val="16"/>
                <w:szCs w:val="16"/>
              </w:rPr>
              <w:lastRenderedPageBreak/>
              <w:t>Grafico 1</w:t>
            </w:r>
            <w:r w:rsidR="007B0C83">
              <w:rPr>
                <w:rFonts w:ascii="Arial Narrow" w:hAnsi="Arial Narrow"/>
                <w:sz w:val="16"/>
                <w:szCs w:val="16"/>
              </w:rPr>
              <w:t>: E</w:t>
            </w:r>
            <w:r w:rsidRPr="00097849">
              <w:rPr>
                <w:rFonts w:ascii="Arial Narrow" w:hAnsi="Arial Narrow"/>
                <w:sz w:val="16"/>
                <w:szCs w:val="16"/>
              </w:rPr>
              <w:t xml:space="preserve">laboración propia </w:t>
            </w:r>
            <w:r w:rsidR="007B0C83">
              <w:rPr>
                <w:rFonts w:ascii="Arial Narrow" w:hAnsi="Arial Narrow"/>
                <w:sz w:val="16"/>
                <w:szCs w:val="16"/>
              </w:rPr>
              <w:t>/ Datos</w:t>
            </w:r>
            <w:r w:rsidRPr="00097849">
              <w:rPr>
                <w:rFonts w:ascii="Arial Narrow" w:hAnsi="Arial Narrow"/>
                <w:sz w:val="16"/>
                <w:szCs w:val="16"/>
              </w:rPr>
              <w:t xml:space="preserve"> DANE Gran Encuesta integrada de Hogares, trim</w:t>
            </w:r>
            <w:r>
              <w:rPr>
                <w:rFonts w:ascii="Arial Narrow" w:hAnsi="Arial Narrow"/>
                <w:sz w:val="16"/>
                <w:szCs w:val="16"/>
              </w:rPr>
              <w:t>estre móvil enero-abril de 2019</w:t>
            </w:r>
          </w:p>
        </w:tc>
      </w:tr>
    </w:tbl>
    <w:p w:rsidR="005D6D6D" w:rsidRPr="00097849" w:rsidRDefault="005D6D6D" w:rsidP="007B31C6">
      <w:pPr>
        <w:jc w:val="both"/>
        <w:rPr>
          <w:rFonts w:ascii="Arial Narrow" w:eastAsia="Arial Narrow" w:hAnsi="Arial Narrow" w:cs="Arial Narrow"/>
          <w:sz w:val="24"/>
          <w:szCs w:val="24"/>
        </w:rPr>
      </w:pPr>
    </w:p>
    <w:p w:rsidR="007B31C6" w:rsidRPr="00097849"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 xml:space="preserve">En este punto resulta paradójico que el DANE aún desconoce el carácter económico-productivo de los denominados “oficios del hogar”, a pesar de que la tendencia académica mundial reconoce que dichas actividades constituyen una verdadera contribución al Producto Interno Bruto de cada país. Pero en todo caso, incluso sin controvertir las categorías estadísticas del DANE, en este aspecto es preocupante no sólo la desproporción entre las diferentes categorías de inactividad del mercado laboral de los hombres respecto al de las mujeres, sino además la explicación que subyace a esta evidencia. </w:t>
      </w:r>
    </w:p>
    <w:p w:rsidR="007B31C6"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En efecto, en el caso de los hombres la inactividad económica se explica principalmente porque estas personas se dedican a estudiar y a optimizar competitivamente su oportunidad de insertarse en el mercado laboral (mejorando su posición salarial respecto a otros candidatos con menor calificación académica). Al mismo tiempo, en el caso de las mujeres la inactividad económica está relacionada con oficios del hogar que no sólo no son consideradas como actividades productivas, sino que además son vistas como “obligaciones” de las mujeres, que las marginan por largos periodos de tiempo de la formación académica y de la adquisición de destrezas y habilidades laborales que les ofrecerían alguna oportunidad efectiva de insertarse posteriormente en el mercado laboral. Lo que este indicador demuestra, no es solamente una realidad chocante en la que las mujeres sufren con mayor rigor la inactividad económica, sino además, deja en evidencia el círculo vicioso que desde muy temprano en sus vidas, las excluye del mercado laboral y las condena a dedicarse casi exclusivamente a trabajos no remunerados dentro de su propio hogar, que a su vez, les impiden adquirir conocimientos o desarrollar estudios oportunamente para competir en igualdad de condiciones con los hombres en etapas posteriores de su vida económica.</w:t>
      </w:r>
    </w:p>
    <w:tbl>
      <w:tblPr>
        <w:tblStyle w:val="Tablaconcuadrcula"/>
        <w:tblW w:w="0" w:type="auto"/>
        <w:jc w:val="center"/>
        <w:tblLook w:val="04A0" w:firstRow="1" w:lastRow="0" w:firstColumn="1" w:lastColumn="0" w:noHBand="0" w:noVBand="1"/>
      </w:tblPr>
      <w:tblGrid>
        <w:gridCol w:w="8828"/>
      </w:tblGrid>
      <w:tr w:rsidR="002375E1" w:rsidTr="005D6D6D">
        <w:trPr>
          <w:jc w:val="center"/>
        </w:trPr>
        <w:tc>
          <w:tcPr>
            <w:tcW w:w="8828" w:type="dxa"/>
          </w:tcPr>
          <w:p w:rsidR="002375E1" w:rsidRPr="002375E1" w:rsidRDefault="002375E1" w:rsidP="002375E1">
            <w:pPr>
              <w:spacing w:after="0"/>
              <w:jc w:val="center"/>
              <w:rPr>
                <w:rFonts w:ascii="Arial Narrow" w:eastAsia="Arial Narrow" w:hAnsi="Arial Narrow" w:cs="Arial Narrow"/>
                <w:b/>
                <w:sz w:val="26"/>
                <w:szCs w:val="26"/>
              </w:rPr>
            </w:pPr>
            <w:r w:rsidRPr="002375E1">
              <w:rPr>
                <w:rFonts w:ascii="Arial Narrow" w:eastAsia="Arial Narrow" w:hAnsi="Arial Narrow" w:cs="Arial Narrow"/>
                <w:b/>
                <w:sz w:val="26"/>
                <w:szCs w:val="26"/>
              </w:rPr>
              <w:t xml:space="preserve">Tasa de Crecimiento de la Participación de Mujeres Dedicadas a Oficios del Hogar </w:t>
            </w:r>
          </w:p>
          <w:p w:rsidR="005D6D6D" w:rsidRDefault="002375E1" w:rsidP="002375E1">
            <w:pPr>
              <w:spacing w:after="0"/>
              <w:jc w:val="center"/>
              <w:rPr>
                <w:rFonts w:ascii="Arial Narrow" w:eastAsia="Arial Narrow" w:hAnsi="Arial Narrow" w:cs="Arial Narrow"/>
                <w:b/>
                <w:sz w:val="28"/>
                <w:szCs w:val="24"/>
              </w:rPr>
            </w:pPr>
            <w:r w:rsidRPr="002375E1">
              <w:rPr>
                <w:rFonts w:ascii="Arial Narrow" w:eastAsia="Arial Narrow" w:hAnsi="Arial Narrow" w:cs="Arial Narrow"/>
                <w:b/>
                <w:sz w:val="26"/>
                <w:szCs w:val="26"/>
              </w:rPr>
              <w:t>Dentro del Total de Mujeres Inactivas.</w:t>
            </w:r>
            <w:r w:rsidRPr="002375E1">
              <w:rPr>
                <w:rFonts w:ascii="Arial Narrow" w:eastAsia="Arial Narrow" w:hAnsi="Arial Narrow" w:cs="Arial Narrow"/>
                <w:b/>
                <w:sz w:val="28"/>
                <w:szCs w:val="24"/>
              </w:rPr>
              <w:t xml:space="preserve"> </w:t>
            </w:r>
          </w:p>
          <w:p w:rsidR="002375E1" w:rsidRPr="005D6D6D" w:rsidRDefault="005D6D6D" w:rsidP="002375E1">
            <w:pPr>
              <w:spacing w:after="0"/>
              <w:jc w:val="center"/>
              <w:rPr>
                <w:rFonts w:ascii="Arial Narrow" w:eastAsia="Arial Narrow" w:hAnsi="Arial Narrow" w:cs="Arial Narrow"/>
                <w:sz w:val="24"/>
                <w:szCs w:val="24"/>
              </w:rPr>
            </w:pPr>
            <w:r w:rsidRPr="005D6D6D">
              <w:rPr>
                <w:rFonts w:ascii="Arial Narrow" w:eastAsia="Arial Narrow" w:hAnsi="Arial Narrow" w:cs="Arial Narrow"/>
                <w:sz w:val="24"/>
                <w:szCs w:val="24"/>
              </w:rPr>
              <w:t xml:space="preserve">(Serie </w:t>
            </w:r>
            <w:r>
              <w:rPr>
                <w:rFonts w:ascii="Arial Narrow" w:eastAsia="Arial Narrow" w:hAnsi="Arial Narrow" w:cs="Arial Narrow"/>
                <w:sz w:val="24"/>
                <w:szCs w:val="24"/>
              </w:rPr>
              <w:t>t</w:t>
            </w:r>
            <w:r w:rsidRPr="005D6D6D">
              <w:rPr>
                <w:rFonts w:ascii="Arial Narrow" w:eastAsia="Arial Narrow" w:hAnsi="Arial Narrow" w:cs="Arial Narrow"/>
                <w:sz w:val="24"/>
                <w:szCs w:val="24"/>
              </w:rPr>
              <w:t xml:space="preserve">rimestre móvil nov 2015- ene 2016 hasta feb 2019- abr 2019) </w:t>
            </w:r>
          </w:p>
        </w:tc>
      </w:tr>
      <w:tr w:rsidR="002375E1" w:rsidTr="005D6D6D">
        <w:trPr>
          <w:jc w:val="center"/>
        </w:trPr>
        <w:tc>
          <w:tcPr>
            <w:tcW w:w="8828" w:type="dxa"/>
            <w:vAlign w:val="center"/>
          </w:tcPr>
          <w:p w:rsidR="002375E1" w:rsidRDefault="002375E1" w:rsidP="007B0C83">
            <w:pPr>
              <w:spacing w:before="240"/>
              <w:jc w:val="center"/>
              <w:rPr>
                <w:rFonts w:ascii="Arial Narrow" w:eastAsia="Arial Narrow" w:hAnsi="Arial Narrow" w:cs="Arial Narrow"/>
                <w:sz w:val="24"/>
                <w:szCs w:val="24"/>
              </w:rPr>
            </w:pPr>
            <w:r>
              <w:rPr>
                <w:rFonts w:ascii="Arial Narrow" w:eastAsia="Arial Narrow" w:hAnsi="Arial Narrow" w:cs="Arial Narrow"/>
                <w:noProof/>
                <w:sz w:val="24"/>
                <w:szCs w:val="24"/>
                <w:lang w:eastAsia="es-CO"/>
              </w:rPr>
              <w:lastRenderedPageBreak/>
              <w:drawing>
                <wp:inline distT="0" distB="0" distL="0" distR="0" wp14:anchorId="4AF583CF">
                  <wp:extent cx="5381625" cy="265225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4618" cy="2668517"/>
                          </a:xfrm>
                          <a:prstGeom prst="rect">
                            <a:avLst/>
                          </a:prstGeom>
                          <a:noFill/>
                        </pic:spPr>
                      </pic:pic>
                    </a:graphicData>
                  </a:graphic>
                </wp:inline>
              </w:drawing>
            </w:r>
          </w:p>
        </w:tc>
      </w:tr>
      <w:tr w:rsidR="002375E1" w:rsidTr="005D6D6D">
        <w:trPr>
          <w:jc w:val="center"/>
        </w:trPr>
        <w:tc>
          <w:tcPr>
            <w:tcW w:w="8828" w:type="dxa"/>
          </w:tcPr>
          <w:p w:rsidR="002375E1" w:rsidRPr="002375E1" w:rsidRDefault="002375E1" w:rsidP="007B0C83">
            <w:pPr>
              <w:spacing w:after="0"/>
              <w:jc w:val="center"/>
              <w:rPr>
                <w:rFonts w:ascii="Arial Narrow" w:eastAsia="Arial Narrow" w:hAnsi="Arial Narrow" w:cs="Arial Narrow"/>
                <w:sz w:val="16"/>
                <w:szCs w:val="16"/>
              </w:rPr>
            </w:pPr>
            <w:r w:rsidRPr="00097849">
              <w:rPr>
                <w:rFonts w:ascii="Arial Narrow" w:eastAsia="Arial Narrow" w:hAnsi="Arial Narrow" w:cs="Arial Narrow"/>
                <w:sz w:val="16"/>
                <w:szCs w:val="16"/>
              </w:rPr>
              <w:t>Grafic</w:t>
            </w:r>
            <w:r w:rsidR="007B0C83">
              <w:rPr>
                <w:rFonts w:ascii="Arial Narrow" w:eastAsia="Arial Narrow" w:hAnsi="Arial Narrow" w:cs="Arial Narrow"/>
                <w:sz w:val="16"/>
                <w:szCs w:val="16"/>
              </w:rPr>
              <w:t>o 2:</w:t>
            </w:r>
            <w:r w:rsidRPr="00097849">
              <w:rPr>
                <w:rFonts w:ascii="Arial Narrow" w:eastAsia="Arial Narrow" w:hAnsi="Arial Narrow" w:cs="Arial Narrow"/>
                <w:sz w:val="16"/>
                <w:szCs w:val="16"/>
              </w:rPr>
              <w:t xml:space="preserve"> Elaboración propia</w:t>
            </w:r>
            <w:r w:rsidR="007B0C83">
              <w:rPr>
                <w:rFonts w:ascii="Arial Narrow" w:eastAsia="Arial Narrow" w:hAnsi="Arial Narrow" w:cs="Arial Narrow"/>
                <w:sz w:val="16"/>
                <w:szCs w:val="16"/>
              </w:rPr>
              <w:t xml:space="preserve"> </w:t>
            </w:r>
            <w:r w:rsidRPr="00097849">
              <w:rPr>
                <w:rFonts w:ascii="Arial Narrow" w:eastAsia="Arial Narrow" w:hAnsi="Arial Narrow" w:cs="Arial Narrow"/>
                <w:sz w:val="16"/>
                <w:szCs w:val="16"/>
              </w:rPr>
              <w:t>/ Datos DANE Gran Encuesta integrada de Hogares, trimestre Móvil enero-abril de 2019</w:t>
            </w:r>
          </w:p>
        </w:tc>
      </w:tr>
    </w:tbl>
    <w:p w:rsidR="005D6D6D" w:rsidRDefault="005D6D6D" w:rsidP="007B31C6">
      <w:pPr>
        <w:jc w:val="both"/>
        <w:rPr>
          <w:rFonts w:ascii="Arial Narrow" w:eastAsia="Arial Narrow" w:hAnsi="Arial Narrow" w:cs="Arial Narrow"/>
          <w:sz w:val="24"/>
          <w:szCs w:val="24"/>
        </w:rPr>
      </w:pPr>
    </w:p>
    <w:p w:rsidR="007B31C6" w:rsidRPr="00097849"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Cuando se analiza históricamente la tasa de participación de las mujeres dedicadas a oficios del hogar dentro del total de las mujeres inactivas desde el punto de vista económico, saltan a la vista dos fenómenos igualmente preocupantes. Por un lado, encontramos que hay cierta estacionalidad de la estadística, con picos importantes en los que las mujeres se vuelcan a los oficios del hogar en los</w:t>
      </w:r>
      <w:r w:rsidR="005D6D6D">
        <w:rPr>
          <w:rFonts w:ascii="Arial Narrow" w:eastAsia="Arial Narrow" w:hAnsi="Arial Narrow" w:cs="Arial Narrow"/>
          <w:sz w:val="24"/>
          <w:szCs w:val="24"/>
        </w:rPr>
        <w:t xml:space="preserve"> últimos trimestres de cada año</w:t>
      </w:r>
      <w:r w:rsidRPr="00097849">
        <w:rPr>
          <w:rFonts w:ascii="Arial Narrow" w:eastAsia="Arial Narrow" w:hAnsi="Arial Narrow" w:cs="Arial Narrow"/>
          <w:sz w:val="24"/>
          <w:szCs w:val="24"/>
        </w:rPr>
        <w:t xml:space="preserve"> </w:t>
      </w:r>
      <w:r w:rsidR="005D6D6D" w:rsidRPr="00097849">
        <w:rPr>
          <w:rFonts w:ascii="Arial Narrow" w:eastAsia="Arial Narrow" w:hAnsi="Arial Narrow" w:cs="Arial Narrow"/>
          <w:sz w:val="24"/>
          <w:szCs w:val="24"/>
        </w:rPr>
        <w:t>y,</w:t>
      </w:r>
      <w:r w:rsidRPr="00097849">
        <w:rPr>
          <w:rFonts w:ascii="Arial Narrow" w:eastAsia="Arial Narrow" w:hAnsi="Arial Narrow" w:cs="Arial Narrow"/>
          <w:sz w:val="24"/>
          <w:szCs w:val="24"/>
        </w:rPr>
        <w:t xml:space="preserve"> por otro lado, una tendencia discreta pero firme al alza en la tasa de participación de las mujeres “inactivas” </w:t>
      </w:r>
      <w:r w:rsidR="005D6D6D">
        <w:rPr>
          <w:rFonts w:ascii="Arial Narrow" w:eastAsia="Arial Narrow" w:hAnsi="Arial Narrow" w:cs="Arial Narrow"/>
          <w:sz w:val="24"/>
          <w:szCs w:val="24"/>
        </w:rPr>
        <w:t>dedicadas a</w:t>
      </w:r>
      <w:r w:rsidRPr="00097849">
        <w:rPr>
          <w:rFonts w:ascii="Arial Narrow" w:eastAsia="Arial Narrow" w:hAnsi="Arial Narrow" w:cs="Arial Narrow"/>
          <w:sz w:val="24"/>
          <w:szCs w:val="24"/>
        </w:rPr>
        <w:t xml:space="preserve"> oficios del hogar.  </w:t>
      </w:r>
    </w:p>
    <w:p w:rsidR="007B31C6" w:rsidRPr="00097849"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Más allá de la frivolidad de las estadísticas, acá estamos dando cuenta de la problemática silenciosa que afecta tanto a las niñas mayores de 14 años que abandonan sus estudios para dedicarse al cuidado de su familia, como a las mujeres adultas que son “castigadas” laboralmente cuando deciden hacer una pausa en su carrera profesional para constituir una familia. En ambos casos (y en tantos otros), el trabajo familiar no remunerado y las labores de cuidado afectan la competitividad de las mujeres para insertarse (o reinsertarse) en el mercado laboral a lo largo de las diferentes etapas de su vida.</w:t>
      </w:r>
    </w:p>
    <w:p w:rsidR="007B31C6" w:rsidRPr="00564ACD" w:rsidRDefault="007B31C6" w:rsidP="007B31C6">
      <w:pPr>
        <w:pStyle w:val="Prrafodelista"/>
        <w:numPr>
          <w:ilvl w:val="1"/>
          <w:numId w:val="1"/>
        </w:numPr>
        <w:jc w:val="both"/>
        <w:rPr>
          <w:rFonts w:ascii="Arial Narrow" w:hAnsi="Arial Narrow"/>
          <w:b/>
          <w:sz w:val="24"/>
          <w:szCs w:val="24"/>
        </w:rPr>
      </w:pPr>
      <w:r w:rsidRPr="00564ACD">
        <w:rPr>
          <w:rFonts w:ascii="Arial Narrow" w:hAnsi="Arial Narrow"/>
          <w:b/>
          <w:sz w:val="24"/>
          <w:szCs w:val="24"/>
        </w:rPr>
        <w:t xml:space="preserve">La discriminación de la mujer dentro del mercado laboral. </w:t>
      </w:r>
    </w:p>
    <w:p w:rsidR="007B31C6" w:rsidRPr="00097849"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 xml:space="preserve">Dentro de la población económicamente activa tampoco cesan las barreras ni las dificultades que enfrentan las mujeres para competir en igualdad de condiciones con los hombres. De acuerdo con los resultados más recientes de la Gran Encuesta Integrada de Hogares dirigida por el DANE (trimestre móvil febrero –abril de 2019), si consideramos por aparte el mercado laboral de los hombres y el de las mujeres, encontramos que el desempleo para las mujeres asciende al 14% mientras que en el caso de los hombres se mantiene en el 8.7%, con un promedio general de desempleo del 11% a nivel nacional para todos los sexos. </w:t>
      </w:r>
    </w:p>
    <w:p w:rsidR="007B31C6" w:rsidRPr="00CF6577"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lastRenderedPageBreak/>
        <w:t xml:space="preserve">Ahora bien, considerando especialmente la población joven acotada dentro de los 14 a 28 años de edad, el desempleo de las mujeres jóvenes alcanza un preocupante 24%, mientras que entre los hombres jóvenes se mantiene en 13%. Aunque la cifra de desempleo juvenil entre los hombres es lamentable, hay que destacar que esa misma estadística para las mujeres corrobora las alarmas que se activaron cuando se analizó el fenómeno de la inactividad económica entre las mujeres colombianas: las barreras silenciosas que le impiden a las mujeres acceder a la actividad económica remunerada, son determinantes al momento de entender las asimetrías y la desigualdad que enfrentan incluso cuando logran insertarse en el mercado laboral. El porcentaje de mujeres que persisten en su búsqueda de empleo sin éxito, es casi el doble del que registra el mercado laboral de los hombres. </w:t>
      </w:r>
    </w:p>
    <w:p w:rsidR="007B31C6" w:rsidRPr="00564ACD" w:rsidRDefault="007B31C6" w:rsidP="007B31C6">
      <w:pPr>
        <w:pStyle w:val="Prrafodelista"/>
        <w:numPr>
          <w:ilvl w:val="1"/>
          <w:numId w:val="1"/>
        </w:numPr>
        <w:jc w:val="both"/>
        <w:rPr>
          <w:rFonts w:ascii="Arial Narrow" w:hAnsi="Arial Narrow"/>
          <w:sz w:val="24"/>
          <w:szCs w:val="24"/>
        </w:rPr>
      </w:pPr>
      <w:r w:rsidRPr="00564ACD">
        <w:rPr>
          <w:rFonts w:ascii="Arial Narrow" w:hAnsi="Arial Narrow"/>
          <w:b/>
          <w:sz w:val="24"/>
          <w:szCs w:val="24"/>
        </w:rPr>
        <w:t>Las demás asimetrías contra la mujer dentro de la categoría de los ocupados</w:t>
      </w:r>
      <w:r w:rsidRPr="00564ACD">
        <w:rPr>
          <w:rFonts w:ascii="Arial Narrow" w:hAnsi="Arial Narrow"/>
          <w:sz w:val="24"/>
          <w:szCs w:val="24"/>
        </w:rPr>
        <w:t xml:space="preserve">. </w:t>
      </w:r>
    </w:p>
    <w:p w:rsidR="007B31C6" w:rsidRPr="00097849"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 xml:space="preserve">Además de la problemática que enfrentan las mujeres dentro de la población económicamente “inactiva” y dentro de la población económicamente activa, encontramos otras asimetrías que se revelan cuando desagregamos la categoría de los “ocupados” en la Gran Encuesta Integrada de Hogares que realiza el DANE. </w:t>
      </w:r>
    </w:p>
    <w:p w:rsidR="007A5000"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En ese sentido, teniendo en cuenta los tipos de ocupación de esta población, se evidencia que las mujeres predominan dentro de la cat</w:t>
      </w:r>
      <w:r w:rsidR="002247C6">
        <w:rPr>
          <w:rFonts w:ascii="Arial Narrow" w:eastAsia="Arial Narrow" w:hAnsi="Arial Narrow" w:cs="Arial Narrow"/>
          <w:sz w:val="24"/>
          <w:szCs w:val="24"/>
        </w:rPr>
        <w:t>egoría de empleado doméstico (95</w:t>
      </w:r>
      <w:r w:rsidRPr="00097849">
        <w:rPr>
          <w:rFonts w:ascii="Arial Narrow" w:eastAsia="Arial Narrow" w:hAnsi="Arial Narrow" w:cs="Arial Narrow"/>
          <w:sz w:val="24"/>
          <w:szCs w:val="24"/>
        </w:rPr>
        <w:t>%) y la de trabajador familiar no remunerado</w:t>
      </w:r>
      <w:r w:rsidR="002247C6">
        <w:rPr>
          <w:rFonts w:ascii="Arial Narrow" w:eastAsia="Arial Narrow" w:hAnsi="Arial Narrow" w:cs="Arial Narrow"/>
          <w:sz w:val="24"/>
          <w:szCs w:val="24"/>
        </w:rPr>
        <w:t xml:space="preserve"> (66%)</w:t>
      </w:r>
      <w:r w:rsidRPr="00097849">
        <w:rPr>
          <w:rFonts w:ascii="Arial Narrow" w:eastAsia="Arial Narrow" w:hAnsi="Arial Narrow" w:cs="Arial Narrow"/>
          <w:sz w:val="24"/>
          <w:szCs w:val="24"/>
        </w:rPr>
        <w:t>; mientras que los hombres por su parte, predominan en las ca</w:t>
      </w:r>
      <w:r w:rsidR="002247C6">
        <w:rPr>
          <w:rFonts w:ascii="Arial Narrow" w:eastAsia="Arial Narrow" w:hAnsi="Arial Narrow" w:cs="Arial Narrow"/>
          <w:sz w:val="24"/>
          <w:szCs w:val="24"/>
        </w:rPr>
        <w:t>tegorías de jornalero o peón (94%), trabajador independiente (60</w:t>
      </w:r>
      <w:r w:rsidRPr="00097849">
        <w:rPr>
          <w:rFonts w:ascii="Arial Narrow" w:eastAsia="Arial Narrow" w:hAnsi="Arial Narrow" w:cs="Arial Narrow"/>
          <w:sz w:val="24"/>
          <w:szCs w:val="24"/>
        </w:rPr>
        <w:t xml:space="preserve">%) y empleado </w:t>
      </w:r>
      <w:r w:rsidR="002247C6">
        <w:rPr>
          <w:rFonts w:ascii="Arial Narrow" w:eastAsia="Arial Narrow" w:hAnsi="Arial Narrow" w:cs="Arial Narrow"/>
          <w:sz w:val="24"/>
          <w:szCs w:val="24"/>
        </w:rPr>
        <w:t>particular (59</w:t>
      </w:r>
      <w:r w:rsidRPr="00097849">
        <w:rPr>
          <w:rFonts w:ascii="Arial Narrow" w:eastAsia="Arial Narrow" w:hAnsi="Arial Narrow" w:cs="Arial Narrow"/>
          <w:sz w:val="24"/>
          <w:szCs w:val="24"/>
        </w:rPr>
        <w:t xml:space="preserve">%). Cabe destacar la simetría o paridad con la que se distribuyen los empleos dentro del Estado, lo cual seguramente, tiene alguna correlación directa con las múltiples medidas afirmativas con las que se logró incidir de forma efectiva en la participación equitativa de las mujeres en las instituciones gubernamentales. </w:t>
      </w:r>
    </w:p>
    <w:p w:rsidR="007A5000" w:rsidRDefault="007A5000" w:rsidP="007B31C6">
      <w:pPr>
        <w:jc w:val="both"/>
        <w:rPr>
          <w:rFonts w:ascii="Arial Narrow" w:eastAsia="Arial Narrow" w:hAnsi="Arial Narrow" w:cs="Arial Narrow"/>
          <w:sz w:val="24"/>
          <w:szCs w:val="24"/>
        </w:rPr>
      </w:pPr>
    </w:p>
    <w:p w:rsidR="007A5000" w:rsidRDefault="007A5000" w:rsidP="007B31C6">
      <w:pPr>
        <w:jc w:val="both"/>
        <w:rPr>
          <w:rFonts w:ascii="Arial Narrow" w:eastAsia="Arial Narrow" w:hAnsi="Arial Narrow" w:cs="Arial Narrow"/>
          <w:sz w:val="24"/>
          <w:szCs w:val="24"/>
        </w:rPr>
      </w:pPr>
    </w:p>
    <w:p w:rsidR="007A5000" w:rsidRDefault="007A5000" w:rsidP="007B31C6">
      <w:pPr>
        <w:jc w:val="both"/>
        <w:rPr>
          <w:rFonts w:ascii="Arial Narrow" w:eastAsia="Arial Narrow" w:hAnsi="Arial Narrow" w:cs="Arial Narrow"/>
          <w:sz w:val="24"/>
          <w:szCs w:val="24"/>
        </w:rPr>
      </w:pPr>
    </w:p>
    <w:p w:rsidR="007A5000" w:rsidRDefault="007A5000" w:rsidP="007B31C6">
      <w:pPr>
        <w:jc w:val="both"/>
        <w:rPr>
          <w:rFonts w:ascii="Arial Narrow" w:eastAsia="Arial Narrow" w:hAnsi="Arial Narrow" w:cs="Arial Narrow"/>
          <w:sz w:val="24"/>
          <w:szCs w:val="24"/>
        </w:rPr>
      </w:pPr>
    </w:p>
    <w:p w:rsidR="007A5000" w:rsidRDefault="007A5000" w:rsidP="007B31C6">
      <w:pPr>
        <w:jc w:val="both"/>
        <w:rPr>
          <w:rFonts w:ascii="Arial Narrow" w:eastAsia="Arial Narrow" w:hAnsi="Arial Narrow" w:cs="Arial Narrow"/>
          <w:sz w:val="24"/>
          <w:szCs w:val="24"/>
        </w:rPr>
      </w:pPr>
    </w:p>
    <w:p w:rsidR="007A5000" w:rsidRDefault="007A5000" w:rsidP="007B31C6">
      <w:pPr>
        <w:jc w:val="both"/>
        <w:rPr>
          <w:rFonts w:ascii="Arial Narrow" w:eastAsia="Arial Narrow" w:hAnsi="Arial Narrow" w:cs="Arial Narrow"/>
          <w:sz w:val="24"/>
          <w:szCs w:val="24"/>
        </w:rPr>
      </w:pPr>
    </w:p>
    <w:p w:rsidR="007A5000" w:rsidRDefault="007A5000" w:rsidP="007B31C6">
      <w:pPr>
        <w:jc w:val="both"/>
        <w:rPr>
          <w:rFonts w:ascii="Arial Narrow" w:eastAsia="Arial Narrow" w:hAnsi="Arial Narrow" w:cs="Arial Narrow"/>
          <w:sz w:val="24"/>
          <w:szCs w:val="24"/>
        </w:rPr>
      </w:pPr>
    </w:p>
    <w:p w:rsidR="007A5000" w:rsidRDefault="007A5000" w:rsidP="007B31C6">
      <w:pPr>
        <w:jc w:val="both"/>
        <w:rPr>
          <w:rFonts w:ascii="Arial Narrow" w:eastAsia="Arial Narrow" w:hAnsi="Arial Narrow" w:cs="Arial Narrow"/>
          <w:sz w:val="24"/>
          <w:szCs w:val="24"/>
        </w:rPr>
      </w:pPr>
    </w:p>
    <w:p w:rsidR="007A5000" w:rsidRDefault="007A5000" w:rsidP="007B31C6">
      <w:pPr>
        <w:jc w:val="both"/>
        <w:rPr>
          <w:rFonts w:ascii="Arial Narrow" w:eastAsia="Arial Narrow" w:hAnsi="Arial Narrow" w:cs="Arial Narrow"/>
          <w:sz w:val="24"/>
          <w:szCs w:val="24"/>
        </w:rPr>
      </w:pPr>
    </w:p>
    <w:p w:rsidR="007B31C6" w:rsidRPr="00097849" w:rsidRDefault="007B31C6" w:rsidP="007B31C6">
      <w:pPr>
        <w:jc w:val="both"/>
        <w:rPr>
          <w:rFonts w:ascii="Arial Narrow" w:eastAsia="Arial Narrow" w:hAnsi="Arial Narrow" w:cs="Arial Narrow"/>
          <w:sz w:val="24"/>
          <w:szCs w:val="24"/>
        </w:rPr>
      </w:pPr>
      <w:r w:rsidRPr="00097849">
        <w:rPr>
          <w:rFonts w:ascii="Arial Narrow" w:eastAsia="Arial Narrow" w:hAnsi="Arial Narrow" w:cs="Arial Narrow"/>
          <w:sz w:val="24"/>
          <w:szCs w:val="24"/>
        </w:rPr>
        <w:t xml:space="preserve">  </w:t>
      </w:r>
    </w:p>
    <w:tbl>
      <w:tblPr>
        <w:tblStyle w:val="Tablaconcuadrcula"/>
        <w:tblW w:w="0" w:type="auto"/>
        <w:jc w:val="center"/>
        <w:tblLook w:val="04A0" w:firstRow="1" w:lastRow="0" w:firstColumn="1" w:lastColumn="0" w:noHBand="0" w:noVBand="1"/>
      </w:tblPr>
      <w:tblGrid>
        <w:gridCol w:w="7795"/>
      </w:tblGrid>
      <w:tr w:rsidR="00137B2D" w:rsidTr="007B0C83">
        <w:trPr>
          <w:jc w:val="center"/>
        </w:trPr>
        <w:tc>
          <w:tcPr>
            <w:tcW w:w="7795" w:type="dxa"/>
          </w:tcPr>
          <w:p w:rsidR="00137B2D" w:rsidRPr="00137B2D" w:rsidRDefault="00137B2D" w:rsidP="00137B2D">
            <w:pPr>
              <w:spacing w:after="0"/>
              <w:jc w:val="center"/>
              <w:rPr>
                <w:rFonts w:ascii="Arial Narrow" w:hAnsi="Arial Narrow"/>
                <w:b/>
                <w:sz w:val="26"/>
                <w:szCs w:val="26"/>
              </w:rPr>
            </w:pPr>
            <w:r w:rsidRPr="00137B2D">
              <w:rPr>
                <w:rFonts w:ascii="Arial Narrow" w:hAnsi="Arial Narrow"/>
                <w:b/>
                <w:sz w:val="26"/>
                <w:szCs w:val="26"/>
              </w:rPr>
              <w:lastRenderedPageBreak/>
              <w:t>Población Ocupada Desagregada por Sexo y Posición Ocupacional</w:t>
            </w:r>
          </w:p>
          <w:p w:rsidR="00137B2D" w:rsidRDefault="00137B2D" w:rsidP="00137B2D">
            <w:pPr>
              <w:spacing w:after="0"/>
              <w:jc w:val="center"/>
              <w:rPr>
                <w:rFonts w:ascii="Arial Narrow" w:hAnsi="Arial Narrow"/>
                <w:sz w:val="24"/>
                <w:szCs w:val="24"/>
              </w:rPr>
            </w:pPr>
            <w:r>
              <w:rPr>
                <w:rFonts w:ascii="Arial Narrow" w:eastAsia="Arial Narrow" w:hAnsi="Arial Narrow" w:cs="Arial Narrow"/>
                <w:sz w:val="24"/>
                <w:szCs w:val="24"/>
              </w:rPr>
              <w:t>Trimestre Móvil feb-abr 2019</w:t>
            </w:r>
          </w:p>
        </w:tc>
      </w:tr>
      <w:tr w:rsidR="00137B2D" w:rsidTr="007B0C83">
        <w:trPr>
          <w:jc w:val="center"/>
        </w:trPr>
        <w:tc>
          <w:tcPr>
            <w:tcW w:w="7795" w:type="dxa"/>
          </w:tcPr>
          <w:p w:rsidR="00137B2D" w:rsidRDefault="00137B2D" w:rsidP="00137B2D">
            <w:pPr>
              <w:spacing w:after="0"/>
              <w:jc w:val="center"/>
              <w:rPr>
                <w:rFonts w:ascii="Arial Narrow" w:hAnsi="Arial Narrow"/>
                <w:sz w:val="24"/>
                <w:szCs w:val="24"/>
              </w:rPr>
            </w:pPr>
            <w:r>
              <w:rPr>
                <w:rFonts w:ascii="Arial Narrow" w:hAnsi="Arial Narrow"/>
                <w:noProof/>
                <w:sz w:val="24"/>
                <w:szCs w:val="24"/>
                <w:lang w:eastAsia="es-CO"/>
              </w:rPr>
              <w:drawing>
                <wp:inline distT="0" distB="0" distL="0" distR="0" wp14:anchorId="56CB8DC1" wp14:editId="5A0A0432">
                  <wp:extent cx="3371850" cy="4267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4267200"/>
                          </a:xfrm>
                          <a:prstGeom prst="rect">
                            <a:avLst/>
                          </a:prstGeom>
                          <a:noFill/>
                          <a:ln>
                            <a:noFill/>
                          </a:ln>
                        </pic:spPr>
                      </pic:pic>
                    </a:graphicData>
                  </a:graphic>
                </wp:inline>
              </w:drawing>
            </w:r>
          </w:p>
        </w:tc>
      </w:tr>
      <w:tr w:rsidR="00137B2D" w:rsidTr="007B0C83">
        <w:trPr>
          <w:jc w:val="center"/>
        </w:trPr>
        <w:tc>
          <w:tcPr>
            <w:tcW w:w="7795" w:type="dxa"/>
          </w:tcPr>
          <w:p w:rsidR="00137B2D" w:rsidRPr="00137B2D" w:rsidRDefault="00137B2D" w:rsidP="007B0C83">
            <w:pPr>
              <w:spacing w:after="0"/>
              <w:jc w:val="center"/>
              <w:rPr>
                <w:rFonts w:ascii="Arial Narrow" w:hAnsi="Arial Narrow"/>
                <w:sz w:val="16"/>
                <w:szCs w:val="16"/>
              </w:rPr>
            </w:pPr>
            <w:r>
              <w:rPr>
                <w:rFonts w:ascii="Arial Narrow" w:hAnsi="Arial Narrow"/>
                <w:sz w:val="16"/>
                <w:szCs w:val="16"/>
              </w:rPr>
              <w:t>Grafico 3</w:t>
            </w:r>
            <w:r w:rsidR="007B0C83">
              <w:rPr>
                <w:rFonts w:ascii="Arial Narrow" w:hAnsi="Arial Narrow"/>
                <w:sz w:val="16"/>
                <w:szCs w:val="16"/>
              </w:rPr>
              <w:t>: E</w:t>
            </w:r>
            <w:r w:rsidRPr="00097849">
              <w:rPr>
                <w:rFonts w:ascii="Arial Narrow" w:hAnsi="Arial Narrow"/>
                <w:sz w:val="16"/>
                <w:szCs w:val="16"/>
              </w:rPr>
              <w:t xml:space="preserve">laboración propia </w:t>
            </w:r>
            <w:r w:rsidR="007B0C83">
              <w:rPr>
                <w:rFonts w:ascii="Arial Narrow" w:hAnsi="Arial Narrow"/>
                <w:sz w:val="16"/>
                <w:szCs w:val="16"/>
              </w:rPr>
              <w:t xml:space="preserve">/ Datos </w:t>
            </w:r>
            <w:r w:rsidRPr="00097849">
              <w:rPr>
                <w:rFonts w:ascii="Arial Narrow" w:hAnsi="Arial Narrow"/>
                <w:sz w:val="16"/>
                <w:szCs w:val="16"/>
              </w:rPr>
              <w:t>DANE Gran Encuesta integrada de Hogares, trimestre móvil enero-abril de 2019.</w:t>
            </w:r>
          </w:p>
        </w:tc>
      </w:tr>
    </w:tbl>
    <w:p w:rsidR="00137B2D" w:rsidRDefault="00137B2D" w:rsidP="007B31C6">
      <w:pPr>
        <w:jc w:val="both"/>
        <w:rPr>
          <w:rFonts w:ascii="Arial Narrow" w:hAnsi="Arial Narrow"/>
          <w:sz w:val="24"/>
          <w:szCs w:val="24"/>
        </w:rPr>
      </w:pPr>
    </w:p>
    <w:p w:rsidR="007B31C6" w:rsidRDefault="007B31C6" w:rsidP="007B31C6">
      <w:pPr>
        <w:jc w:val="both"/>
        <w:rPr>
          <w:rFonts w:ascii="Arial Narrow" w:eastAsia="Arial Narrow" w:hAnsi="Arial Narrow" w:cs="Arial Narrow"/>
          <w:sz w:val="24"/>
          <w:szCs w:val="24"/>
        </w:rPr>
      </w:pPr>
      <w:r>
        <w:rPr>
          <w:rFonts w:ascii="Arial Narrow" w:eastAsia="Arial Narrow" w:hAnsi="Arial Narrow" w:cs="Arial Narrow"/>
          <w:sz w:val="24"/>
          <w:szCs w:val="24"/>
        </w:rPr>
        <w:t>Para efectos del proyecto de ley que se pone a consideración del Congreso de la República de Colombia, es importante destacar la estadística de distribución por sexo de la categoría de “patrón o empleador” dentro del total de la población ocupada. Al respecto las cifras son muy contundentes: del total de las personas ocupadas que está</w:t>
      </w:r>
      <w:r w:rsidR="002247C6">
        <w:rPr>
          <w:rFonts w:ascii="Arial Narrow" w:eastAsia="Arial Narrow" w:hAnsi="Arial Narrow" w:cs="Arial Narrow"/>
          <w:sz w:val="24"/>
          <w:szCs w:val="24"/>
        </w:rPr>
        <w:t>n dentro de esa categoría, el 73% son hombres y apenas el 27</w:t>
      </w:r>
      <w:r>
        <w:rPr>
          <w:rFonts w:ascii="Arial Narrow" w:eastAsia="Arial Narrow" w:hAnsi="Arial Narrow" w:cs="Arial Narrow"/>
          <w:sz w:val="24"/>
          <w:szCs w:val="24"/>
        </w:rPr>
        <w:t xml:space="preserve">% son mujeres. </w:t>
      </w:r>
      <w:proofErr w:type="gramStart"/>
      <w:r>
        <w:rPr>
          <w:rFonts w:ascii="Arial Narrow" w:eastAsia="Arial Narrow" w:hAnsi="Arial Narrow" w:cs="Arial Narrow"/>
          <w:sz w:val="24"/>
          <w:szCs w:val="24"/>
        </w:rPr>
        <w:t>O</w:t>
      </w:r>
      <w:proofErr w:type="gramEnd"/>
      <w:r>
        <w:rPr>
          <w:rFonts w:ascii="Arial Narrow" w:eastAsia="Arial Narrow" w:hAnsi="Arial Narrow" w:cs="Arial Narrow"/>
          <w:sz w:val="24"/>
          <w:szCs w:val="24"/>
        </w:rPr>
        <w:t xml:space="preserve"> dicho de otra </w:t>
      </w:r>
      <w:r w:rsidR="002247C6">
        <w:rPr>
          <w:rFonts w:ascii="Arial Narrow" w:eastAsia="Arial Narrow" w:hAnsi="Arial Narrow" w:cs="Arial Narrow"/>
          <w:sz w:val="24"/>
          <w:szCs w:val="24"/>
        </w:rPr>
        <w:t>forma</w:t>
      </w:r>
      <w:r>
        <w:rPr>
          <w:rFonts w:ascii="Arial Narrow" w:eastAsia="Arial Narrow" w:hAnsi="Arial Narrow" w:cs="Arial Narrow"/>
          <w:sz w:val="24"/>
          <w:szCs w:val="24"/>
        </w:rPr>
        <w:t>, de cada 4 personas que se ocupan como empleadores</w:t>
      </w:r>
      <w:r w:rsidR="002247C6">
        <w:rPr>
          <w:rFonts w:ascii="Arial Narrow" w:eastAsia="Arial Narrow" w:hAnsi="Arial Narrow" w:cs="Arial Narrow"/>
          <w:sz w:val="24"/>
          <w:szCs w:val="24"/>
        </w:rPr>
        <w:t>,</w:t>
      </w:r>
      <w:r>
        <w:rPr>
          <w:rFonts w:ascii="Arial Narrow" w:eastAsia="Arial Narrow" w:hAnsi="Arial Narrow" w:cs="Arial Narrow"/>
          <w:sz w:val="24"/>
          <w:szCs w:val="24"/>
        </w:rPr>
        <w:t xml:space="preserve"> sólo 1 es mujer. Si partimos de reconocer algo tan obvio como que las mujeres tienen la misma capacidad que los hombres de impulsar y dirigir emprendimientos empresariales, entonces nos dirigimos inevitablemente a reconocer sin titubeos, que este fenómeno sólo se explica por barreras e injusticias estructurales que configu</w:t>
      </w:r>
      <w:r w:rsidR="002247C6">
        <w:rPr>
          <w:rFonts w:ascii="Arial Narrow" w:eastAsia="Arial Narrow" w:hAnsi="Arial Narrow" w:cs="Arial Narrow"/>
          <w:sz w:val="24"/>
          <w:szCs w:val="24"/>
        </w:rPr>
        <w:t xml:space="preserve">ran desventajas contra la mujer al insertarse </w:t>
      </w:r>
      <w:r>
        <w:rPr>
          <w:rFonts w:ascii="Arial Narrow" w:eastAsia="Arial Narrow" w:hAnsi="Arial Narrow" w:cs="Arial Narrow"/>
          <w:sz w:val="24"/>
          <w:szCs w:val="24"/>
        </w:rPr>
        <w:t xml:space="preserve">en la población económicamente activa, en la población </w:t>
      </w:r>
      <w:r w:rsidR="002247C6">
        <w:rPr>
          <w:rFonts w:ascii="Arial Narrow" w:eastAsia="Arial Narrow" w:hAnsi="Arial Narrow" w:cs="Arial Narrow"/>
          <w:sz w:val="24"/>
          <w:szCs w:val="24"/>
        </w:rPr>
        <w:t>ocupada</w:t>
      </w:r>
      <w:r>
        <w:rPr>
          <w:rFonts w:ascii="Arial Narrow" w:eastAsia="Arial Narrow" w:hAnsi="Arial Narrow" w:cs="Arial Narrow"/>
          <w:sz w:val="24"/>
          <w:szCs w:val="24"/>
        </w:rPr>
        <w:t xml:space="preserve"> y en la categoría casi exclusiva de las personas que se consideran empleadoras.   </w:t>
      </w:r>
    </w:p>
    <w:p w:rsidR="007A5000" w:rsidRDefault="007A5000" w:rsidP="007B31C6">
      <w:pPr>
        <w:jc w:val="both"/>
        <w:rPr>
          <w:rFonts w:ascii="Arial Narrow" w:eastAsia="Arial Narrow" w:hAnsi="Arial Narrow" w:cs="Arial Narrow"/>
          <w:sz w:val="24"/>
          <w:szCs w:val="24"/>
        </w:rPr>
      </w:pPr>
    </w:p>
    <w:p w:rsidR="007A5000" w:rsidRDefault="007A5000" w:rsidP="007B31C6">
      <w:pPr>
        <w:jc w:val="both"/>
        <w:rPr>
          <w:rFonts w:ascii="Arial Narrow" w:eastAsia="Arial Narrow" w:hAnsi="Arial Narrow" w:cs="Arial Narrow"/>
          <w:sz w:val="24"/>
          <w:szCs w:val="24"/>
        </w:rPr>
      </w:pPr>
    </w:p>
    <w:p w:rsidR="007B31C6" w:rsidRDefault="007B31C6" w:rsidP="007B31C6">
      <w:pPr>
        <w:pStyle w:val="Prrafodelista"/>
        <w:numPr>
          <w:ilvl w:val="0"/>
          <w:numId w:val="1"/>
        </w:numPr>
        <w:autoSpaceDE w:val="0"/>
        <w:autoSpaceDN w:val="0"/>
        <w:adjustRightInd w:val="0"/>
        <w:spacing w:after="0"/>
        <w:jc w:val="both"/>
        <w:rPr>
          <w:rFonts w:ascii="Arial Narrow" w:hAnsi="Arial Narrow"/>
          <w:b/>
          <w:sz w:val="24"/>
          <w:szCs w:val="24"/>
        </w:rPr>
      </w:pPr>
      <w:r>
        <w:rPr>
          <w:rFonts w:ascii="Arial Narrow" w:hAnsi="Arial Narrow"/>
          <w:b/>
          <w:sz w:val="24"/>
          <w:szCs w:val="24"/>
        </w:rPr>
        <w:lastRenderedPageBreak/>
        <w:t xml:space="preserve">Medidas que se pretenden implementar con el proyecto de ley </w:t>
      </w:r>
    </w:p>
    <w:p w:rsidR="007B31C6" w:rsidRPr="009C1F84" w:rsidRDefault="007B31C6" w:rsidP="007B31C6">
      <w:pPr>
        <w:autoSpaceDE w:val="0"/>
        <w:autoSpaceDN w:val="0"/>
        <w:adjustRightInd w:val="0"/>
        <w:spacing w:after="0"/>
        <w:jc w:val="both"/>
        <w:rPr>
          <w:rFonts w:ascii="Arial Narrow" w:hAnsi="Arial Narrow"/>
          <w:sz w:val="24"/>
          <w:szCs w:val="24"/>
        </w:rPr>
      </w:pPr>
    </w:p>
    <w:p w:rsidR="007B31C6" w:rsidRDefault="007B31C6" w:rsidP="007B31C6">
      <w:pPr>
        <w:autoSpaceDE w:val="0"/>
        <w:autoSpaceDN w:val="0"/>
        <w:adjustRightInd w:val="0"/>
        <w:spacing w:after="0"/>
        <w:jc w:val="both"/>
        <w:rPr>
          <w:rFonts w:ascii="Arial Narrow" w:hAnsi="Arial Narrow"/>
          <w:sz w:val="24"/>
          <w:szCs w:val="24"/>
        </w:rPr>
      </w:pPr>
      <w:r w:rsidRPr="009C1F84">
        <w:rPr>
          <w:rFonts w:ascii="Arial Narrow" w:hAnsi="Arial Narrow"/>
          <w:sz w:val="24"/>
          <w:szCs w:val="24"/>
        </w:rPr>
        <w:t>El proyecto de ley busca establecer 3 medidas afirmativas para las mujeres jóvenes</w:t>
      </w:r>
      <w:r>
        <w:rPr>
          <w:rFonts w:ascii="Arial Narrow" w:hAnsi="Arial Narrow"/>
          <w:sz w:val="24"/>
          <w:szCs w:val="24"/>
        </w:rPr>
        <w:t xml:space="preserve"> mediante el fortalecimiento de las medidas establecidas en</w:t>
      </w:r>
      <w:r w:rsidRPr="009C1F84">
        <w:rPr>
          <w:rFonts w:ascii="Arial Narrow" w:hAnsi="Arial Narrow"/>
          <w:sz w:val="24"/>
          <w:szCs w:val="24"/>
        </w:rPr>
        <w:t xml:space="preserve"> La ley 1780</w:t>
      </w:r>
      <w:r>
        <w:rPr>
          <w:rFonts w:ascii="Arial Narrow" w:hAnsi="Arial Narrow"/>
          <w:sz w:val="24"/>
          <w:szCs w:val="24"/>
        </w:rPr>
        <w:t xml:space="preserve"> de 2016. La ley </w:t>
      </w:r>
      <w:r w:rsidRPr="009C1F84">
        <w:rPr>
          <w:rFonts w:ascii="Arial Narrow" w:hAnsi="Arial Narrow"/>
          <w:sz w:val="24"/>
          <w:szCs w:val="24"/>
        </w:rPr>
        <w:t xml:space="preserve"> establece </w:t>
      </w:r>
      <w:r>
        <w:rPr>
          <w:rFonts w:ascii="Arial Narrow" w:hAnsi="Arial Narrow"/>
          <w:sz w:val="24"/>
          <w:szCs w:val="24"/>
        </w:rPr>
        <w:t xml:space="preserve">dentro de sus medidas </w:t>
      </w:r>
      <w:r>
        <w:rPr>
          <w:rFonts w:ascii="Arial Narrow" w:eastAsia="Arial Narrow" w:hAnsi="Arial Narrow" w:cs="Arial Narrow"/>
          <w:sz w:val="24"/>
          <w:szCs w:val="24"/>
        </w:rPr>
        <w:t xml:space="preserve">exención del pago en la matrícula mercantil y su renovación durante el primer año para las pequeñas jóvenes, la exención del pago de aportes a Cajas de Compensación Familiar a las empresas que vinculen a personas entre los 18 y 28 años de edad por el primer año y el fortalecimiento de la presencia institucional de las entidades del estado para incentivar y promover el empleo juvenil con énfasis en la ruralidad, las minorías étnicas y jóvenes en el proceso de posconflicto.  </w:t>
      </w:r>
    </w:p>
    <w:p w:rsidR="007B31C6" w:rsidRDefault="007B31C6" w:rsidP="007B31C6">
      <w:pPr>
        <w:autoSpaceDE w:val="0"/>
        <w:autoSpaceDN w:val="0"/>
        <w:adjustRightInd w:val="0"/>
        <w:spacing w:after="0"/>
        <w:jc w:val="both"/>
        <w:rPr>
          <w:rFonts w:ascii="Arial Narrow" w:hAnsi="Arial Narrow"/>
          <w:sz w:val="24"/>
          <w:szCs w:val="24"/>
        </w:rPr>
      </w:pPr>
    </w:p>
    <w:p w:rsidR="007B31C6" w:rsidRDefault="007B31C6" w:rsidP="007B31C6">
      <w:pPr>
        <w:autoSpaceDE w:val="0"/>
        <w:autoSpaceDN w:val="0"/>
        <w:adjustRightInd w:val="0"/>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ese sentido, se busca ampliar temporalmente (segundo y tercer año) dichas medidas a las empresas que contraten en mayor porcentaje a mujeres jóvenes e incluir una acción diferencial en términos de formación y financiación </w:t>
      </w:r>
      <w:r w:rsidRPr="006361DB">
        <w:rPr>
          <w:rFonts w:ascii="Arial Narrow" w:eastAsia="Arial Narrow" w:hAnsi="Arial Narrow" w:cs="Arial Narrow"/>
          <w:sz w:val="24"/>
          <w:szCs w:val="24"/>
        </w:rPr>
        <w:t>de iniciativas empresariales impulsadas por mujeres y con planta de personal compuesta mayoritariamente por mujeres.</w:t>
      </w:r>
      <w:r>
        <w:rPr>
          <w:rFonts w:ascii="Arial Narrow" w:eastAsia="Arial Narrow" w:hAnsi="Arial Narrow" w:cs="Arial Narrow"/>
          <w:sz w:val="24"/>
          <w:szCs w:val="24"/>
        </w:rPr>
        <w:t xml:space="preserve"> Con ello, se pretende incluir estrategias que amplíen la creación y acceso de empleo para las mujeres jóvenes e invertir en mecanismos de aprendizaje permanente que equipare las brechas de desigualdad y allanen un camino para la consolidación de un trabajo decente para las poblaciones históricamente discriminadas, dentro de ellas las mujeres jóvenes.     </w:t>
      </w:r>
    </w:p>
    <w:p w:rsidR="007B31C6" w:rsidRPr="009C1F84" w:rsidRDefault="007B31C6" w:rsidP="007B31C6">
      <w:pPr>
        <w:autoSpaceDE w:val="0"/>
        <w:autoSpaceDN w:val="0"/>
        <w:adjustRightInd w:val="0"/>
        <w:spacing w:after="0"/>
        <w:jc w:val="both"/>
        <w:rPr>
          <w:rFonts w:ascii="Arial Narrow" w:hAnsi="Arial Narrow"/>
          <w:b/>
          <w:sz w:val="24"/>
          <w:szCs w:val="24"/>
        </w:rPr>
      </w:pPr>
    </w:p>
    <w:p w:rsidR="007B31C6" w:rsidRDefault="007B31C6" w:rsidP="007B31C6">
      <w:pPr>
        <w:pStyle w:val="Prrafodelista"/>
        <w:numPr>
          <w:ilvl w:val="0"/>
          <w:numId w:val="1"/>
        </w:numPr>
        <w:autoSpaceDE w:val="0"/>
        <w:autoSpaceDN w:val="0"/>
        <w:adjustRightInd w:val="0"/>
        <w:spacing w:after="0"/>
        <w:jc w:val="both"/>
        <w:rPr>
          <w:rFonts w:ascii="Arial Narrow" w:hAnsi="Arial Narrow"/>
          <w:b/>
          <w:sz w:val="24"/>
          <w:szCs w:val="24"/>
        </w:rPr>
      </w:pPr>
      <w:r>
        <w:rPr>
          <w:rFonts w:ascii="Arial Narrow" w:hAnsi="Arial Narrow"/>
          <w:b/>
          <w:sz w:val="24"/>
          <w:szCs w:val="24"/>
        </w:rPr>
        <w:t>Impacto Fiscal y Financiero</w:t>
      </w:r>
    </w:p>
    <w:p w:rsidR="007B31C6" w:rsidRDefault="007B31C6" w:rsidP="007B31C6">
      <w:pPr>
        <w:autoSpaceDE w:val="0"/>
        <w:autoSpaceDN w:val="0"/>
        <w:adjustRightInd w:val="0"/>
        <w:spacing w:after="0"/>
        <w:jc w:val="both"/>
        <w:rPr>
          <w:rFonts w:ascii="Arial Narrow" w:hAnsi="Arial Narrow"/>
          <w:b/>
          <w:sz w:val="24"/>
          <w:szCs w:val="24"/>
        </w:rPr>
      </w:pPr>
    </w:p>
    <w:p w:rsidR="00D12349" w:rsidRDefault="007B31C6" w:rsidP="007B31C6">
      <w:pPr>
        <w:autoSpaceDE w:val="0"/>
        <w:autoSpaceDN w:val="0"/>
        <w:adjustRightInd w:val="0"/>
        <w:spacing w:after="0"/>
        <w:jc w:val="both"/>
        <w:rPr>
          <w:rFonts w:ascii="Arial Narrow" w:hAnsi="Arial Narrow"/>
          <w:sz w:val="24"/>
          <w:szCs w:val="24"/>
        </w:rPr>
      </w:pPr>
      <w:r>
        <w:rPr>
          <w:rFonts w:ascii="Arial Narrow" w:hAnsi="Arial Narrow"/>
          <w:sz w:val="24"/>
          <w:szCs w:val="24"/>
        </w:rPr>
        <w:t xml:space="preserve">Durante el trámite del proyecto de ley No. 150 de 2015 Cámara / 135 de 2016 Senado, que posteriormente daría lugar a la Ley 1780 de Empleo Joven que acá se pretende reformar, </w:t>
      </w:r>
      <w:r w:rsidR="00D12349">
        <w:rPr>
          <w:rFonts w:ascii="Arial Narrow" w:hAnsi="Arial Narrow"/>
          <w:sz w:val="24"/>
          <w:szCs w:val="24"/>
        </w:rPr>
        <w:t xml:space="preserve">se solicitaron conceptos jurídicos al Ministerio de Hacienda y Crédito Público y a la Asociación Nacional de Cajas de Compensación Familiar. Ya que estos conceptos se solicitaron con posterioridad a la aprobación del proyecto de ley en segundo debate (plenaria de Cámara), dichos elementos de juicio recayeron sobre la versión más consolidada del texto propuesto. </w:t>
      </w:r>
    </w:p>
    <w:p w:rsidR="00CF6577" w:rsidRDefault="00CF6577" w:rsidP="007B31C6">
      <w:pPr>
        <w:autoSpaceDE w:val="0"/>
        <w:autoSpaceDN w:val="0"/>
        <w:adjustRightInd w:val="0"/>
        <w:spacing w:after="0"/>
        <w:jc w:val="both"/>
        <w:rPr>
          <w:rFonts w:ascii="Arial Narrow" w:hAnsi="Arial Narrow"/>
          <w:sz w:val="24"/>
          <w:szCs w:val="24"/>
        </w:rPr>
      </w:pPr>
    </w:p>
    <w:p w:rsidR="007B31C6" w:rsidRDefault="00D12349" w:rsidP="007B31C6">
      <w:pPr>
        <w:autoSpaceDE w:val="0"/>
        <w:autoSpaceDN w:val="0"/>
        <w:adjustRightInd w:val="0"/>
        <w:spacing w:after="0"/>
        <w:jc w:val="both"/>
        <w:rPr>
          <w:rFonts w:ascii="Arial Narrow" w:hAnsi="Arial Narrow"/>
          <w:sz w:val="24"/>
          <w:szCs w:val="24"/>
        </w:rPr>
      </w:pPr>
      <w:r>
        <w:rPr>
          <w:rFonts w:ascii="Arial Narrow" w:hAnsi="Arial Narrow"/>
          <w:sz w:val="24"/>
          <w:szCs w:val="24"/>
        </w:rPr>
        <w:t xml:space="preserve">En </w:t>
      </w:r>
      <w:r w:rsidR="006946E9">
        <w:rPr>
          <w:rFonts w:ascii="Arial Narrow" w:hAnsi="Arial Narrow"/>
          <w:sz w:val="24"/>
          <w:szCs w:val="24"/>
        </w:rPr>
        <w:t>su</w:t>
      </w:r>
      <w:r w:rsidR="006125F9">
        <w:rPr>
          <w:rFonts w:ascii="Arial Narrow" w:hAnsi="Arial Narrow"/>
          <w:sz w:val="24"/>
          <w:szCs w:val="24"/>
        </w:rPr>
        <w:t xml:space="preserve"> concepto, </w:t>
      </w:r>
      <w:r>
        <w:rPr>
          <w:rFonts w:ascii="Arial Narrow" w:hAnsi="Arial Narrow"/>
          <w:sz w:val="24"/>
          <w:szCs w:val="24"/>
        </w:rPr>
        <w:t xml:space="preserve">el Ministerio de Hacienda y Crédito Público (Gaceta del Congreso No. 92 de 2016) </w:t>
      </w:r>
      <w:r w:rsidR="004B47BB">
        <w:rPr>
          <w:rFonts w:ascii="Arial Narrow" w:hAnsi="Arial Narrow"/>
          <w:sz w:val="24"/>
          <w:szCs w:val="24"/>
        </w:rPr>
        <w:t>queda</w:t>
      </w:r>
      <w:r>
        <w:rPr>
          <w:rFonts w:ascii="Arial Narrow" w:hAnsi="Arial Narrow"/>
          <w:sz w:val="24"/>
          <w:szCs w:val="24"/>
        </w:rPr>
        <w:t xml:space="preserve"> muy claro que las medidas afirmativas propuestas “no contiene situaciones que pudiesen generar algún tipo de impacto fiscal directo para el Gobierno”. Esto es así, básicamente, porque las exenciones en el pago de aportes a las Cajas de Compensación Familiar y en los costos de matrícula mercantil</w:t>
      </w:r>
      <w:r w:rsidR="006548F7">
        <w:rPr>
          <w:rFonts w:ascii="Arial Narrow" w:hAnsi="Arial Narrow"/>
          <w:sz w:val="24"/>
          <w:szCs w:val="24"/>
        </w:rPr>
        <w:t>,</w:t>
      </w:r>
      <w:r>
        <w:rPr>
          <w:rFonts w:ascii="Arial Narrow" w:hAnsi="Arial Narrow"/>
          <w:sz w:val="24"/>
          <w:szCs w:val="24"/>
        </w:rPr>
        <w:t xml:space="preserve"> no representan menores ingresos ni gastos adicionales para el Estado. </w:t>
      </w:r>
      <w:r w:rsidR="006548F7">
        <w:rPr>
          <w:rFonts w:ascii="Arial Narrow" w:hAnsi="Arial Narrow"/>
          <w:sz w:val="24"/>
          <w:szCs w:val="24"/>
        </w:rPr>
        <w:t>Justamente por eso, este nuevo proyecto de ley</w:t>
      </w:r>
      <w:r w:rsidR="004B47BB">
        <w:rPr>
          <w:rFonts w:ascii="Arial Narrow" w:hAnsi="Arial Narrow"/>
          <w:sz w:val="24"/>
          <w:szCs w:val="24"/>
        </w:rPr>
        <w:t>,</w:t>
      </w:r>
      <w:r w:rsidR="006548F7">
        <w:rPr>
          <w:rFonts w:ascii="Arial Narrow" w:hAnsi="Arial Narrow"/>
          <w:sz w:val="24"/>
          <w:szCs w:val="24"/>
        </w:rPr>
        <w:t xml:space="preserve"> que pretende reformar la Ley 1780 de 2016 sobre Empleo y Emprendimiento Joven, retoma exactamente los mismos mecanismos de fomento del articulado original, pero prolongando su aplicación en función de afirmar específicamente las oportunidades de empleo y emprendimiento de las mujeres jóvenes.  </w:t>
      </w:r>
    </w:p>
    <w:p w:rsidR="006548F7" w:rsidRDefault="006548F7" w:rsidP="007B31C6">
      <w:pPr>
        <w:autoSpaceDE w:val="0"/>
        <w:autoSpaceDN w:val="0"/>
        <w:adjustRightInd w:val="0"/>
        <w:spacing w:after="0"/>
        <w:jc w:val="both"/>
        <w:rPr>
          <w:rFonts w:ascii="Arial Narrow" w:hAnsi="Arial Narrow"/>
          <w:sz w:val="24"/>
          <w:szCs w:val="24"/>
        </w:rPr>
      </w:pPr>
    </w:p>
    <w:p w:rsidR="002247C6" w:rsidRDefault="004B47BB" w:rsidP="007B31C6">
      <w:pPr>
        <w:autoSpaceDE w:val="0"/>
        <w:autoSpaceDN w:val="0"/>
        <w:adjustRightInd w:val="0"/>
        <w:spacing w:after="0"/>
        <w:jc w:val="both"/>
        <w:rPr>
          <w:rFonts w:ascii="Arial Narrow" w:hAnsi="Arial Narrow"/>
          <w:sz w:val="24"/>
          <w:szCs w:val="24"/>
        </w:rPr>
      </w:pPr>
      <w:r>
        <w:rPr>
          <w:rFonts w:ascii="Arial Narrow" w:hAnsi="Arial Narrow"/>
          <w:sz w:val="24"/>
          <w:szCs w:val="24"/>
        </w:rPr>
        <w:t>En su concepto</w:t>
      </w:r>
      <w:r w:rsidR="006125F9">
        <w:rPr>
          <w:rFonts w:ascii="Arial Narrow" w:hAnsi="Arial Narrow"/>
          <w:sz w:val="24"/>
          <w:szCs w:val="24"/>
        </w:rPr>
        <w:t>,</w:t>
      </w:r>
      <w:r>
        <w:rPr>
          <w:rFonts w:ascii="Arial Narrow" w:hAnsi="Arial Narrow"/>
          <w:sz w:val="24"/>
          <w:szCs w:val="24"/>
        </w:rPr>
        <w:t xml:space="preserve"> la Asociación de Cajas de Compensación Familiar</w:t>
      </w:r>
      <w:r w:rsidR="006125F9">
        <w:rPr>
          <w:rFonts w:ascii="Arial Narrow" w:hAnsi="Arial Narrow"/>
          <w:sz w:val="24"/>
          <w:szCs w:val="24"/>
        </w:rPr>
        <w:t xml:space="preserve"> </w:t>
      </w:r>
      <w:r w:rsidR="00FE261E">
        <w:rPr>
          <w:rFonts w:ascii="Arial Narrow" w:hAnsi="Arial Narrow"/>
          <w:sz w:val="24"/>
          <w:szCs w:val="24"/>
        </w:rPr>
        <w:t xml:space="preserve">(Gaceta del Congreso No. 92 de 2016) </w:t>
      </w:r>
      <w:r w:rsidR="006125F9">
        <w:rPr>
          <w:rFonts w:ascii="Arial Narrow" w:hAnsi="Arial Narrow"/>
          <w:sz w:val="24"/>
          <w:szCs w:val="24"/>
        </w:rPr>
        <w:t>advierte que</w:t>
      </w:r>
      <w:r w:rsidR="009150D8">
        <w:rPr>
          <w:rFonts w:ascii="Arial Narrow" w:hAnsi="Arial Narrow"/>
          <w:sz w:val="24"/>
          <w:szCs w:val="24"/>
        </w:rPr>
        <w:t>,</w:t>
      </w:r>
      <w:r w:rsidR="006125F9">
        <w:rPr>
          <w:rFonts w:ascii="Arial Narrow" w:hAnsi="Arial Narrow"/>
          <w:sz w:val="24"/>
          <w:szCs w:val="24"/>
        </w:rPr>
        <w:t xml:space="preserve"> en la medida de lo posible, todas </w:t>
      </w:r>
      <w:r w:rsidR="009150D8">
        <w:rPr>
          <w:rFonts w:ascii="Arial Narrow" w:hAnsi="Arial Narrow"/>
          <w:sz w:val="24"/>
          <w:szCs w:val="24"/>
        </w:rPr>
        <w:t xml:space="preserve">las normas que incidan sobre la política laboral </w:t>
      </w:r>
      <w:r w:rsidR="009150D8">
        <w:rPr>
          <w:rFonts w:ascii="Arial Narrow" w:hAnsi="Arial Narrow"/>
          <w:sz w:val="24"/>
          <w:szCs w:val="24"/>
        </w:rPr>
        <w:lastRenderedPageBreak/>
        <w:t xml:space="preserve">y de seguridad social (en este caso impactando el subsidio familiar) deberían ser consultadas en la Comisión de Concertación de Políticas Laborales y Salariales que se consagra en el artículo 56 de la Constitución Política. </w:t>
      </w:r>
      <w:r w:rsidR="0079569F">
        <w:rPr>
          <w:rFonts w:ascii="Arial Narrow" w:hAnsi="Arial Narrow"/>
          <w:sz w:val="24"/>
          <w:szCs w:val="24"/>
        </w:rPr>
        <w:t>En ese sentido, aunque esta sugerencia no se tuvo en cuenta durante el trámite legislativo de la actual Ley 1780</w:t>
      </w:r>
      <w:r w:rsidR="002247C6">
        <w:rPr>
          <w:rFonts w:ascii="Arial Narrow" w:hAnsi="Arial Narrow"/>
          <w:sz w:val="24"/>
          <w:szCs w:val="24"/>
        </w:rPr>
        <w:t xml:space="preserve"> de 2016</w:t>
      </w:r>
      <w:r w:rsidR="0079569F">
        <w:rPr>
          <w:rFonts w:ascii="Arial Narrow" w:hAnsi="Arial Narrow"/>
          <w:sz w:val="24"/>
          <w:szCs w:val="24"/>
        </w:rPr>
        <w:t>, se puede solicitar un concepto formal a dicha Comisión de Concertación</w:t>
      </w:r>
      <w:r w:rsidR="002247C6">
        <w:rPr>
          <w:rFonts w:ascii="Arial Narrow" w:hAnsi="Arial Narrow"/>
          <w:sz w:val="24"/>
          <w:szCs w:val="24"/>
        </w:rPr>
        <w:t>,</w:t>
      </w:r>
      <w:r w:rsidR="0079569F">
        <w:rPr>
          <w:rFonts w:ascii="Arial Narrow" w:hAnsi="Arial Narrow"/>
          <w:sz w:val="24"/>
          <w:szCs w:val="24"/>
        </w:rPr>
        <w:t xml:space="preserve"> en la medida en que el Congreso de la República manifi</w:t>
      </w:r>
      <w:r w:rsidR="002247C6">
        <w:rPr>
          <w:rFonts w:ascii="Arial Narrow" w:hAnsi="Arial Narrow"/>
          <w:sz w:val="24"/>
          <w:szCs w:val="24"/>
        </w:rPr>
        <w:t>este su interés en este proyecto de l</w:t>
      </w:r>
      <w:r w:rsidR="0079569F">
        <w:rPr>
          <w:rFonts w:ascii="Arial Narrow" w:hAnsi="Arial Narrow"/>
          <w:sz w:val="24"/>
          <w:szCs w:val="24"/>
        </w:rPr>
        <w:t xml:space="preserve">ey </w:t>
      </w:r>
      <w:r w:rsidR="002247C6">
        <w:rPr>
          <w:rFonts w:ascii="Arial Narrow" w:hAnsi="Arial Narrow"/>
          <w:sz w:val="24"/>
          <w:szCs w:val="24"/>
        </w:rPr>
        <w:t xml:space="preserve">aprobándolo </w:t>
      </w:r>
      <w:r w:rsidR="0079569F">
        <w:rPr>
          <w:rFonts w:ascii="Arial Narrow" w:hAnsi="Arial Narrow"/>
          <w:sz w:val="24"/>
          <w:szCs w:val="24"/>
        </w:rPr>
        <w:t>en primer o segundo debate.</w:t>
      </w:r>
    </w:p>
    <w:p w:rsidR="002247C6" w:rsidRDefault="002247C6" w:rsidP="007B31C6">
      <w:pPr>
        <w:autoSpaceDE w:val="0"/>
        <w:autoSpaceDN w:val="0"/>
        <w:adjustRightInd w:val="0"/>
        <w:spacing w:after="0"/>
        <w:jc w:val="both"/>
        <w:rPr>
          <w:rFonts w:ascii="Arial Narrow" w:hAnsi="Arial Narrow"/>
          <w:sz w:val="24"/>
          <w:szCs w:val="24"/>
        </w:rPr>
      </w:pPr>
    </w:p>
    <w:p w:rsidR="0079569F" w:rsidRDefault="002247C6" w:rsidP="007B31C6">
      <w:pPr>
        <w:autoSpaceDE w:val="0"/>
        <w:autoSpaceDN w:val="0"/>
        <w:adjustRightInd w:val="0"/>
        <w:spacing w:after="0"/>
        <w:jc w:val="both"/>
        <w:rPr>
          <w:rFonts w:ascii="Arial Narrow" w:hAnsi="Arial Narrow"/>
          <w:sz w:val="24"/>
          <w:szCs w:val="24"/>
        </w:rPr>
      </w:pPr>
      <w:r>
        <w:rPr>
          <w:rFonts w:ascii="Arial Narrow" w:hAnsi="Arial Narrow"/>
          <w:sz w:val="24"/>
          <w:szCs w:val="24"/>
        </w:rPr>
        <w:t xml:space="preserve">En aquella oportunidad, ASOCAJAS también llamó la atención sobre el impacto que esta medida podría tener sobre los ingresos de las Cajas de Compensación Familiar, y como resultado, se surtió una concertación entre las partes implicadas que dio como resultado la versión final de la Ley que se sancionó en el 2016. Esto quiere decir que, en principio, los artículos 3 y 7 de la Ley 1780 </w:t>
      </w:r>
      <w:r w:rsidR="00FE261E">
        <w:rPr>
          <w:rFonts w:ascii="Arial Narrow" w:hAnsi="Arial Narrow"/>
          <w:sz w:val="24"/>
          <w:szCs w:val="24"/>
        </w:rPr>
        <w:t xml:space="preserve">ya </w:t>
      </w:r>
      <w:r>
        <w:rPr>
          <w:rFonts w:ascii="Arial Narrow" w:hAnsi="Arial Narrow"/>
          <w:sz w:val="24"/>
          <w:szCs w:val="24"/>
        </w:rPr>
        <w:t xml:space="preserve">fueron convenidos con ASOCAJAS cuando tuvieron lugar el tercer y cuarto debate del proyecto de ley.  </w:t>
      </w:r>
      <w:r w:rsidR="0079569F">
        <w:rPr>
          <w:rFonts w:ascii="Arial Narrow" w:hAnsi="Arial Narrow"/>
          <w:sz w:val="24"/>
          <w:szCs w:val="24"/>
        </w:rPr>
        <w:t xml:space="preserve"> </w:t>
      </w:r>
    </w:p>
    <w:p w:rsidR="006548F7" w:rsidRPr="007B31C6" w:rsidRDefault="0079569F" w:rsidP="007B31C6">
      <w:pPr>
        <w:autoSpaceDE w:val="0"/>
        <w:autoSpaceDN w:val="0"/>
        <w:adjustRightInd w:val="0"/>
        <w:spacing w:after="0"/>
        <w:jc w:val="both"/>
        <w:rPr>
          <w:rFonts w:ascii="Arial Narrow" w:hAnsi="Arial Narrow"/>
          <w:sz w:val="24"/>
          <w:szCs w:val="24"/>
        </w:rPr>
      </w:pPr>
      <w:r>
        <w:rPr>
          <w:rFonts w:ascii="Arial Narrow" w:hAnsi="Arial Narrow"/>
          <w:sz w:val="24"/>
          <w:szCs w:val="24"/>
        </w:rPr>
        <w:t xml:space="preserve"> </w:t>
      </w:r>
      <w:r w:rsidR="004B47BB">
        <w:rPr>
          <w:rFonts w:ascii="Arial Narrow" w:hAnsi="Arial Narrow"/>
          <w:sz w:val="24"/>
          <w:szCs w:val="24"/>
        </w:rPr>
        <w:t xml:space="preserve"> </w:t>
      </w:r>
    </w:p>
    <w:p w:rsidR="007B31C6" w:rsidRPr="006E0F40" w:rsidRDefault="007B31C6" w:rsidP="007B31C6">
      <w:pPr>
        <w:pStyle w:val="Prrafodelista"/>
        <w:numPr>
          <w:ilvl w:val="0"/>
          <w:numId w:val="1"/>
        </w:numPr>
        <w:autoSpaceDE w:val="0"/>
        <w:autoSpaceDN w:val="0"/>
        <w:adjustRightInd w:val="0"/>
        <w:spacing w:after="0"/>
        <w:jc w:val="both"/>
        <w:rPr>
          <w:rFonts w:ascii="Arial Narrow" w:hAnsi="Arial Narrow"/>
          <w:b/>
          <w:sz w:val="24"/>
          <w:szCs w:val="24"/>
        </w:rPr>
      </w:pPr>
      <w:r>
        <w:rPr>
          <w:rFonts w:ascii="Arial Narrow" w:hAnsi="Arial Narrow"/>
          <w:b/>
          <w:sz w:val="24"/>
          <w:szCs w:val="24"/>
        </w:rPr>
        <w:t xml:space="preserve">Marco jurídico Nacional </w:t>
      </w:r>
    </w:p>
    <w:p w:rsidR="007B31C6" w:rsidRPr="006E0F40" w:rsidRDefault="007B31C6" w:rsidP="007B31C6">
      <w:pPr>
        <w:autoSpaceDE w:val="0"/>
        <w:autoSpaceDN w:val="0"/>
        <w:adjustRightInd w:val="0"/>
        <w:spacing w:after="0"/>
        <w:jc w:val="both"/>
        <w:rPr>
          <w:rFonts w:ascii="Arial Narrow" w:hAnsi="Arial Narrow" w:cs="TimesNewRomanPSMT"/>
          <w:color w:val="000000"/>
          <w:sz w:val="24"/>
          <w:szCs w:val="24"/>
        </w:rPr>
      </w:pPr>
    </w:p>
    <w:p w:rsidR="007B31C6" w:rsidRDefault="007B31C6" w:rsidP="007B31C6">
      <w:pPr>
        <w:autoSpaceDE w:val="0"/>
        <w:autoSpaceDN w:val="0"/>
        <w:adjustRightInd w:val="0"/>
        <w:spacing w:after="0"/>
        <w:jc w:val="both"/>
        <w:rPr>
          <w:rFonts w:ascii="Arial Narrow" w:hAnsi="Arial Narrow"/>
          <w:sz w:val="24"/>
          <w:szCs w:val="24"/>
        </w:rPr>
      </w:pPr>
      <w:r w:rsidRPr="00564ACD">
        <w:rPr>
          <w:rFonts w:ascii="Arial Narrow" w:hAnsi="Arial Narrow"/>
          <w:sz w:val="24"/>
          <w:szCs w:val="24"/>
        </w:rPr>
        <w:t>El artículo 13 de la Constitución reconoce el derecho a la igualdad proscribe cualquier forma de discriminación por razones de sexo, raza, origen nacional o familiar, lengua, religión, opinión política o filosófica.</w:t>
      </w:r>
    </w:p>
    <w:p w:rsidR="007B31C6" w:rsidRDefault="007B31C6" w:rsidP="007B31C6">
      <w:pPr>
        <w:autoSpaceDE w:val="0"/>
        <w:autoSpaceDN w:val="0"/>
        <w:adjustRightInd w:val="0"/>
        <w:spacing w:after="0"/>
        <w:jc w:val="both"/>
        <w:rPr>
          <w:rFonts w:ascii="Arial Narrow" w:hAnsi="Arial Narrow"/>
          <w:sz w:val="24"/>
          <w:szCs w:val="24"/>
        </w:rPr>
      </w:pPr>
    </w:p>
    <w:p w:rsidR="007B31C6" w:rsidRPr="00564ACD" w:rsidRDefault="007B31C6" w:rsidP="007B31C6">
      <w:pPr>
        <w:autoSpaceDE w:val="0"/>
        <w:autoSpaceDN w:val="0"/>
        <w:adjustRightInd w:val="0"/>
        <w:spacing w:after="0"/>
        <w:jc w:val="both"/>
        <w:rPr>
          <w:rFonts w:ascii="Arial Narrow" w:hAnsi="Arial Narrow"/>
          <w:sz w:val="24"/>
          <w:szCs w:val="24"/>
        </w:rPr>
      </w:pPr>
      <w:r w:rsidRPr="00564ACD">
        <w:rPr>
          <w:rFonts w:ascii="Arial Narrow" w:hAnsi="Arial Narrow"/>
          <w:sz w:val="24"/>
          <w:szCs w:val="24"/>
        </w:rPr>
        <w:t>Por otra parte, el artículo 43 de la Constitución, dispone igualdad de derechos y oportunidades entre hombres y mujeres; así mismo, establece la prohibición de discriminación contra la mujer.</w:t>
      </w:r>
    </w:p>
    <w:p w:rsidR="007B31C6" w:rsidRPr="00564ACD" w:rsidRDefault="007B31C6" w:rsidP="007B31C6">
      <w:pPr>
        <w:autoSpaceDE w:val="0"/>
        <w:autoSpaceDN w:val="0"/>
        <w:adjustRightInd w:val="0"/>
        <w:spacing w:after="0"/>
        <w:jc w:val="both"/>
        <w:rPr>
          <w:rFonts w:ascii="Arial Narrow" w:hAnsi="Arial Narrow"/>
          <w:sz w:val="24"/>
          <w:szCs w:val="24"/>
        </w:rPr>
      </w:pPr>
    </w:p>
    <w:p w:rsidR="007B31C6" w:rsidRDefault="007B31C6" w:rsidP="007B31C6">
      <w:pPr>
        <w:autoSpaceDE w:val="0"/>
        <w:autoSpaceDN w:val="0"/>
        <w:adjustRightInd w:val="0"/>
        <w:spacing w:after="0"/>
        <w:jc w:val="both"/>
        <w:rPr>
          <w:rFonts w:ascii="Arial Narrow" w:hAnsi="Arial Narrow"/>
          <w:sz w:val="24"/>
          <w:szCs w:val="24"/>
        </w:rPr>
      </w:pPr>
      <w:r>
        <w:rPr>
          <w:rFonts w:ascii="Arial Narrow" w:hAnsi="Arial Narrow"/>
          <w:sz w:val="24"/>
          <w:szCs w:val="24"/>
        </w:rPr>
        <w:t>Así mismo</w:t>
      </w:r>
      <w:r w:rsidRPr="00564ACD">
        <w:rPr>
          <w:rFonts w:ascii="Arial Narrow" w:hAnsi="Arial Narrow"/>
          <w:sz w:val="24"/>
          <w:szCs w:val="24"/>
        </w:rPr>
        <w:t xml:space="preserve"> la Ley 1822 de 2017 establece el derecho para la madre cotizante, el derecho a disfrutar de dieciocho (18) semanas de descanso remunerado por conc</w:t>
      </w:r>
      <w:r>
        <w:rPr>
          <w:rFonts w:ascii="Arial Narrow" w:hAnsi="Arial Narrow"/>
          <w:sz w:val="24"/>
          <w:szCs w:val="24"/>
        </w:rPr>
        <w:t>epto de licencia de maternidad</w:t>
      </w:r>
    </w:p>
    <w:p w:rsidR="007B31C6" w:rsidRDefault="007B31C6" w:rsidP="007B31C6">
      <w:pPr>
        <w:autoSpaceDE w:val="0"/>
        <w:autoSpaceDN w:val="0"/>
        <w:adjustRightInd w:val="0"/>
        <w:spacing w:after="0"/>
        <w:jc w:val="both"/>
        <w:rPr>
          <w:rFonts w:ascii="Arial Narrow" w:hAnsi="Arial Narrow"/>
          <w:sz w:val="24"/>
          <w:szCs w:val="24"/>
        </w:rPr>
      </w:pPr>
    </w:p>
    <w:p w:rsidR="007B31C6" w:rsidRPr="00564ACD" w:rsidRDefault="007B31C6" w:rsidP="007B31C6">
      <w:pPr>
        <w:autoSpaceDE w:val="0"/>
        <w:autoSpaceDN w:val="0"/>
        <w:adjustRightInd w:val="0"/>
        <w:spacing w:after="0"/>
        <w:jc w:val="both"/>
        <w:rPr>
          <w:rFonts w:ascii="Arial Narrow" w:hAnsi="Arial Narrow"/>
          <w:sz w:val="24"/>
          <w:szCs w:val="24"/>
        </w:rPr>
      </w:pPr>
      <w:r>
        <w:rPr>
          <w:rFonts w:ascii="Arial Narrow" w:hAnsi="Arial Narrow"/>
          <w:sz w:val="24"/>
          <w:szCs w:val="24"/>
        </w:rPr>
        <w:t>L</w:t>
      </w:r>
      <w:r w:rsidRPr="00564ACD">
        <w:rPr>
          <w:rFonts w:ascii="Arial Narrow" w:hAnsi="Arial Narrow"/>
          <w:sz w:val="24"/>
          <w:szCs w:val="24"/>
        </w:rPr>
        <w:t xml:space="preserve">a Ley 1823 de 2017 que les aplica tanto a empleadores privados como públicos </w:t>
      </w:r>
      <w:r>
        <w:rPr>
          <w:rFonts w:ascii="Arial Narrow" w:hAnsi="Arial Narrow"/>
          <w:sz w:val="24"/>
          <w:szCs w:val="24"/>
        </w:rPr>
        <w:t>determina</w:t>
      </w:r>
      <w:r w:rsidRPr="00564ACD">
        <w:rPr>
          <w:rFonts w:ascii="Arial Narrow" w:hAnsi="Arial Narrow"/>
          <w:sz w:val="24"/>
          <w:szCs w:val="24"/>
        </w:rPr>
        <w:t xml:space="preserve"> la obligación de implementar salas amigas de la familia lactante, cuyo objetivo es lograr en el ámbito laboral la adecuación de un espacio que cumpla con todos los estándares técnicos y de seguridad para que las madres puedan ejercer su derecho a la lactancia</w:t>
      </w:r>
    </w:p>
    <w:p w:rsidR="007B31C6" w:rsidRPr="00564ACD" w:rsidRDefault="007B31C6" w:rsidP="007B31C6">
      <w:pPr>
        <w:autoSpaceDE w:val="0"/>
        <w:autoSpaceDN w:val="0"/>
        <w:adjustRightInd w:val="0"/>
        <w:spacing w:after="0"/>
        <w:jc w:val="both"/>
        <w:rPr>
          <w:rFonts w:ascii="Arial Narrow" w:hAnsi="Arial Narrow"/>
          <w:sz w:val="24"/>
          <w:szCs w:val="24"/>
        </w:rPr>
      </w:pPr>
    </w:p>
    <w:p w:rsidR="007B31C6" w:rsidRPr="00713673" w:rsidRDefault="007B31C6" w:rsidP="007B31C6">
      <w:pPr>
        <w:pStyle w:val="NormalWeb"/>
        <w:shd w:val="clear" w:color="auto" w:fill="FFFFFF"/>
        <w:spacing w:before="150" w:beforeAutospacing="0" w:after="150" w:afterAutospacing="0" w:line="276" w:lineRule="auto"/>
        <w:jc w:val="both"/>
        <w:rPr>
          <w:rFonts w:ascii="Arial Narrow" w:hAnsi="Arial Narrow" w:cs="Arial"/>
        </w:rPr>
      </w:pPr>
      <w:r>
        <w:rPr>
          <w:rFonts w:ascii="Arial Narrow" w:eastAsia="Arial Narrow" w:hAnsi="Arial Narrow" w:cs="Arial Narrow"/>
        </w:rPr>
        <w:t>L</w:t>
      </w:r>
      <w:r w:rsidRPr="00713673">
        <w:rPr>
          <w:rFonts w:ascii="Arial Narrow" w:eastAsia="Arial Narrow" w:hAnsi="Arial Narrow" w:cs="Arial Narrow"/>
        </w:rPr>
        <w:t>a Corte Constitucional en Sentencia C 932 de 2007 reafirmando su jurisprudencia señalo que  “</w:t>
      </w:r>
      <w:r w:rsidRPr="00713673">
        <w:rPr>
          <w:rFonts w:ascii="Arial Narrow" w:hAnsi="Arial Narrow" w:cs="Arial"/>
        </w:rPr>
        <w:t xml:space="preserve"> la interpretación sistemática de la Constitución de 1991 permite concluir que las autoridades públicas pueden adoptar medidas para favorecer a un grupo de personas que se encuentran en situación de debilidad producida por desigualdades culturales, históricas, sociales o económicas” Así, reiteró que estas medidas son "</w:t>
      </w:r>
      <w:r w:rsidRPr="00713673">
        <w:rPr>
          <w:rFonts w:ascii="Arial Narrow" w:hAnsi="Arial Narrow" w:cs="Arial"/>
          <w:i/>
          <w:iCs/>
        </w:rPr>
        <w:t>instrumentos diferenciales diseñados para asegurar la satisfacción de bienes y servicios en una sociedad caracterizada por la escasez</w:t>
      </w:r>
      <w:r w:rsidRPr="00713673">
        <w:rPr>
          <w:rFonts w:ascii="Arial Narrow" w:hAnsi="Arial Narrow" w:cs="Arial"/>
        </w:rPr>
        <w:t>"</w:t>
      </w:r>
      <w:r w:rsidRPr="00713673">
        <w:rPr>
          <w:rStyle w:val="Refdenotaalpie"/>
          <w:rFonts w:ascii="Arial Narrow" w:hAnsi="Arial Narrow" w:cs="Arial"/>
        </w:rPr>
        <w:footnoteReference w:id="2"/>
      </w:r>
      <w:r w:rsidRPr="00713673">
        <w:rPr>
          <w:rFonts w:ascii="Arial Narrow" w:hAnsi="Arial Narrow" w:cs="Arial"/>
        </w:rPr>
        <w:t>.</w:t>
      </w:r>
    </w:p>
    <w:p w:rsidR="007B31C6" w:rsidRPr="00713673" w:rsidRDefault="007B31C6" w:rsidP="007B31C6">
      <w:pPr>
        <w:shd w:val="clear" w:color="auto" w:fill="FFFFFF"/>
        <w:spacing w:before="150" w:after="150"/>
        <w:jc w:val="both"/>
        <w:rPr>
          <w:rFonts w:ascii="Arial Narrow" w:eastAsia="Times New Roman" w:hAnsi="Arial Narrow" w:cs="Arial"/>
          <w:sz w:val="24"/>
          <w:szCs w:val="24"/>
          <w:lang w:eastAsia="es-CO"/>
        </w:rPr>
      </w:pPr>
      <w:r w:rsidRPr="00713673">
        <w:rPr>
          <w:rFonts w:ascii="Arial Narrow" w:eastAsia="Times New Roman" w:hAnsi="Arial Narrow" w:cs="Arial"/>
          <w:sz w:val="24"/>
          <w:szCs w:val="24"/>
          <w:lang w:eastAsia="es-CO"/>
        </w:rPr>
        <w:lastRenderedPageBreak/>
        <w:t>Más adelante señala que ”de acuerdo con la jurisprudencia constitucional, estas medidas parten de dos supuestos constitucionales: El primero, de la cláusula social del Estado de Derecho que exige a todas las autoridades garantizar la efectividad de los derechos y deberes de las personas, por lo que resulta obvio que en aquellos casos en los que existen desigualdades natural, social, económica o cultural que no pueden ser superadas por el titular del derecho, corresponde al Estado intervenir para asegurar la eficacia del mismo. El segundo, de la concepción sustancial de la igualdad, según la cual este derecho no sólo se hace efectivo mediante el reconocimiento de privilegios o la imposición de cargas en igualdad de condiciones para todos los administrados, sino también con la consagración de medidas que, primero reconocen la diferencia, y posteriormente buscan equiparar, compensar, remediar o corregir situaciones para que la igualdad entre las personas sea real (artículo 13 de la Carta). De esta forma, las acciones afirmativas como género y las medidas de discriminación positiva o inversa como especie, están dirigidas a remover diferencias fácticas que si bien son reales no deben continuar en un Estado cuya finalidad primordial es conseguir una sociedad más equitativa y justa.”</w:t>
      </w:r>
    </w:p>
    <w:p w:rsidR="007B31C6" w:rsidRPr="00713673" w:rsidRDefault="007B31C6" w:rsidP="007B31C6">
      <w:pPr>
        <w:shd w:val="clear" w:color="auto" w:fill="FFFFFF"/>
        <w:spacing w:before="150" w:after="150"/>
        <w:jc w:val="both"/>
        <w:rPr>
          <w:rFonts w:ascii="Arial Narrow" w:eastAsia="Times New Roman" w:hAnsi="Arial Narrow" w:cs="Arial"/>
          <w:sz w:val="24"/>
          <w:szCs w:val="24"/>
          <w:lang w:eastAsia="es-CO"/>
        </w:rPr>
      </w:pPr>
      <w:r w:rsidRPr="00713673">
        <w:rPr>
          <w:rFonts w:ascii="Arial Narrow" w:eastAsia="Times New Roman" w:hAnsi="Arial Narrow" w:cs="Arial"/>
          <w:sz w:val="24"/>
          <w:szCs w:val="24"/>
          <w:lang w:eastAsia="es-CO"/>
        </w:rPr>
        <w:t>Finaliza su argumento señalando que “una medida afirmativa o de discriminación positiva se ajusta a la Constitución si se logra demostrar que: i) tiene vocación transitoria porque con ella no se pretende perpetuar desigualdades</w:t>
      </w:r>
      <w:r w:rsidRPr="00713673">
        <w:rPr>
          <w:rFonts w:ascii="Arial Narrow" w:eastAsia="Times New Roman" w:hAnsi="Arial Narrow" w:cs="Arial"/>
          <w:sz w:val="24"/>
          <w:szCs w:val="24"/>
          <w:vertAlign w:val="superscript"/>
          <w:lang w:eastAsia="es-CO"/>
        </w:rPr>
        <w:t>16</w:t>
      </w:r>
      <w:r w:rsidRPr="00713673">
        <w:rPr>
          <w:rFonts w:ascii="Arial Narrow" w:eastAsia="Times New Roman" w:hAnsi="Arial Narrow" w:cs="Arial"/>
          <w:sz w:val="24"/>
          <w:szCs w:val="24"/>
          <w:lang w:eastAsia="es-CO"/>
        </w:rPr>
        <w:t>; ii) son medidas para corregir tratos discriminatorios, por lo que consagran tratos desiguales pero con justificación constitucional que intenta terminar con situaciones históricas, culturales o sociales de trato discriminatorio</w:t>
      </w:r>
      <w:r w:rsidRPr="00713673">
        <w:rPr>
          <w:rFonts w:ascii="Arial Narrow" w:eastAsia="Times New Roman" w:hAnsi="Arial Narrow" w:cs="Arial"/>
          <w:sz w:val="24"/>
          <w:szCs w:val="24"/>
          <w:vertAlign w:val="superscript"/>
          <w:lang w:eastAsia="es-CO"/>
        </w:rPr>
        <w:t>17</w:t>
      </w:r>
      <w:r w:rsidRPr="00713673">
        <w:rPr>
          <w:rFonts w:ascii="Arial Narrow" w:eastAsia="Times New Roman" w:hAnsi="Arial Narrow" w:cs="Arial"/>
          <w:sz w:val="24"/>
          <w:szCs w:val="24"/>
          <w:lang w:eastAsia="es-CO"/>
        </w:rPr>
        <w:t>; iii) son medidas de grupo que deben ser expresamente autorizadas por la ley</w:t>
      </w:r>
      <w:r w:rsidRPr="00713673">
        <w:rPr>
          <w:rFonts w:ascii="Arial Narrow" w:eastAsia="Times New Roman" w:hAnsi="Arial Narrow" w:cs="Arial"/>
          <w:sz w:val="24"/>
          <w:szCs w:val="24"/>
          <w:vertAlign w:val="superscript"/>
          <w:lang w:eastAsia="es-CO"/>
        </w:rPr>
        <w:t>18</w:t>
      </w:r>
      <w:r w:rsidRPr="00713673">
        <w:rPr>
          <w:rFonts w:ascii="Arial Narrow" w:eastAsia="Times New Roman" w:hAnsi="Arial Narrow" w:cs="Arial"/>
          <w:sz w:val="24"/>
          <w:szCs w:val="24"/>
          <w:lang w:eastAsia="es-CO"/>
        </w:rPr>
        <w:t> o por actos administrativos, dependiendo de la situación concreta; iv) se presentan en situaciones de escasez de bienes o servicios</w:t>
      </w:r>
      <w:r w:rsidRPr="00713673">
        <w:rPr>
          <w:rFonts w:ascii="Arial Narrow" w:eastAsia="Times New Roman" w:hAnsi="Arial Narrow" w:cs="Arial"/>
          <w:sz w:val="24"/>
          <w:szCs w:val="24"/>
          <w:vertAlign w:val="superscript"/>
          <w:lang w:eastAsia="es-CO"/>
        </w:rPr>
        <w:t>20</w:t>
      </w:r>
      <w:r w:rsidRPr="00713673">
        <w:rPr>
          <w:rFonts w:ascii="Arial Narrow" w:eastAsia="Times New Roman" w:hAnsi="Arial Narrow" w:cs="Arial"/>
          <w:sz w:val="24"/>
          <w:szCs w:val="24"/>
          <w:lang w:eastAsia="es-CO"/>
        </w:rPr>
        <w:t>; v) son diseñadas para favorecer un grupo determinado de personas,  por lo que no resultan válidas medidas </w:t>
      </w:r>
      <w:r w:rsidRPr="00713673">
        <w:rPr>
          <w:rFonts w:ascii="Arial Narrow" w:eastAsia="Times New Roman" w:hAnsi="Arial Narrow" w:cs="Arial"/>
          <w:i/>
          <w:iCs/>
          <w:sz w:val="24"/>
          <w:szCs w:val="24"/>
          <w:lang w:eastAsia="es-CO"/>
        </w:rPr>
        <w:t xml:space="preserve">in </w:t>
      </w:r>
      <w:proofErr w:type="spellStart"/>
      <w:r w:rsidRPr="00713673">
        <w:rPr>
          <w:rFonts w:ascii="Arial Narrow" w:eastAsia="Times New Roman" w:hAnsi="Arial Narrow" w:cs="Arial"/>
          <w:i/>
          <w:iCs/>
          <w:sz w:val="24"/>
          <w:szCs w:val="24"/>
          <w:lang w:eastAsia="es-CO"/>
        </w:rPr>
        <w:t>generi</w:t>
      </w:r>
      <w:proofErr w:type="spellEnd"/>
      <w:r w:rsidRPr="00713673">
        <w:rPr>
          <w:rFonts w:ascii="Arial Narrow" w:eastAsia="Times New Roman" w:hAnsi="Arial Narrow" w:cs="Arial"/>
          <w:sz w:val="24"/>
          <w:szCs w:val="24"/>
          <w:lang w:eastAsia="es-CO"/>
        </w:rPr>
        <w:t> o abiertas con gran margen de discrecionalidad del aplicador jurídico, en tanto que, en aras de proteger un grupo de personas, permitiría establecer tratos arbitrarios o caprichosos</w:t>
      </w:r>
      <w:r w:rsidRPr="00713673">
        <w:rPr>
          <w:rFonts w:ascii="Arial Narrow" w:eastAsia="Times New Roman" w:hAnsi="Arial Narrow" w:cs="Arial"/>
          <w:sz w:val="24"/>
          <w:szCs w:val="24"/>
          <w:vertAlign w:val="superscript"/>
          <w:lang w:eastAsia="es-CO"/>
        </w:rPr>
        <w:t>22</w:t>
      </w:r>
      <w:r w:rsidRPr="00713673">
        <w:rPr>
          <w:rFonts w:ascii="Arial Narrow" w:eastAsia="Times New Roman" w:hAnsi="Arial Narrow" w:cs="Arial"/>
          <w:sz w:val="24"/>
          <w:szCs w:val="24"/>
          <w:lang w:eastAsia="es-CO"/>
        </w:rPr>
        <w:t>.</w:t>
      </w:r>
    </w:p>
    <w:p w:rsidR="007B31C6" w:rsidRPr="00713673" w:rsidRDefault="007B31C6" w:rsidP="007B31C6">
      <w:pPr>
        <w:spacing w:after="0"/>
        <w:jc w:val="both"/>
        <w:rPr>
          <w:rFonts w:ascii="Arial Narrow" w:eastAsia="Arial Narrow" w:hAnsi="Arial Narrow" w:cs="Arial Narrow"/>
          <w:sz w:val="24"/>
          <w:szCs w:val="24"/>
        </w:rPr>
      </w:pPr>
    </w:p>
    <w:p w:rsidR="007B31C6" w:rsidRPr="00713673" w:rsidRDefault="007B31C6" w:rsidP="007B31C6">
      <w:pPr>
        <w:spacing w:after="0"/>
        <w:jc w:val="both"/>
        <w:rPr>
          <w:rFonts w:ascii="Arial Narrow" w:eastAsia="Arial Narrow" w:hAnsi="Arial Narrow" w:cs="Arial Narrow"/>
          <w:sz w:val="24"/>
          <w:szCs w:val="24"/>
        </w:rPr>
      </w:pPr>
      <w:r w:rsidRPr="00713673">
        <w:rPr>
          <w:rFonts w:ascii="Arial Narrow" w:eastAsia="Arial Narrow" w:hAnsi="Arial Narrow" w:cs="Arial Narrow"/>
          <w:sz w:val="24"/>
          <w:szCs w:val="24"/>
        </w:rPr>
        <w:t xml:space="preserve">Por su parte la sentencia C-115 de 2017 relativa a la ley 1429 de 2010, la Corte Constitucional consideró que las normas que limitan medidas de fomento de empleo a una población de manera sectorizada a través de la creación de condiciones de igual material, con el fin de consolidar nuestro Estado Social de Derecho consagrado en el artículo 1° Constitucional, son razonables, proporcionadas y progresivas“ </w:t>
      </w:r>
      <w:r w:rsidRPr="00713673">
        <w:rPr>
          <w:rFonts w:ascii="Arial Narrow" w:eastAsia="Arial Narrow" w:hAnsi="Arial Narrow" w:cs="Arial Narrow"/>
          <w:i/>
          <w:sz w:val="24"/>
          <w:szCs w:val="24"/>
        </w:rPr>
        <w:t>en cuanto al contenido prestacional del derecho constitucional al trabajo, que propende por la consecución de fines constitucionales como la prosperidad general y la vigencia de un orden justo”.</w:t>
      </w:r>
    </w:p>
    <w:p w:rsidR="007B31C6" w:rsidRPr="00713673" w:rsidRDefault="007B31C6" w:rsidP="007B31C6">
      <w:pPr>
        <w:pStyle w:val="Prrafodelista"/>
        <w:spacing w:after="0"/>
        <w:jc w:val="both"/>
        <w:rPr>
          <w:rFonts w:ascii="Arial Narrow" w:eastAsia="Arial Narrow" w:hAnsi="Arial Narrow" w:cs="Arial Narrow"/>
          <w:sz w:val="24"/>
          <w:szCs w:val="24"/>
        </w:rPr>
      </w:pPr>
    </w:p>
    <w:p w:rsidR="007B31C6" w:rsidRPr="00713673" w:rsidRDefault="007B31C6" w:rsidP="007B31C6">
      <w:pPr>
        <w:spacing w:after="0"/>
        <w:jc w:val="both"/>
        <w:rPr>
          <w:rFonts w:ascii="Arial Narrow" w:eastAsia="Arial Narrow" w:hAnsi="Arial Narrow" w:cs="Arial Narrow"/>
          <w:sz w:val="24"/>
          <w:szCs w:val="24"/>
        </w:rPr>
      </w:pPr>
      <w:r w:rsidRPr="00713673">
        <w:rPr>
          <w:rFonts w:ascii="Arial Narrow" w:eastAsia="Arial Narrow" w:hAnsi="Arial Narrow" w:cs="Arial Narrow"/>
          <w:sz w:val="24"/>
          <w:szCs w:val="24"/>
        </w:rPr>
        <w:t>Además de lo anterior ha manifestado que este tipo de medidas son formas especiales de protección para poblaciones discriminadas o marginadas, conforme al artículo 13 constitucional, que en esencia constituyen acciones afirmativas de discriminación positiva y que propenden por la materialización de la igualdad real.</w:t>
      </w:r>
    </w:p>
    <w:p w:rsidR="007B31C6" w:rsidRPr="00713673" w:rsidRDefault="007B31C6" w:rsidP="007B31C6">
      <w:pPr>
        <w:spacing w:after="0"/>
        <w:jc w:val="both"/>
        <w:rPr>
          <w:rFonts w:ascii="Arial Narrow" w:eastAsia="Arial Narrow" w:hAnsi="Arial Narrow" w:cs="Arial Narrow"/>
          <w:sz w:val="24"/>
          <w:szCs w:val="24"/>
        </w:rPr>
      </w:pPr>
    </w:p>
    <w:p w:rsidR="007B31C6" w:rsidRPr="00713673" w:rsidRDefault="007B31C6" w:rsidP="007B31C6">
      <w:pPr>
        <w:spacing w:after="0"/>
        <w:jc w:val="both"/>
        <w:rPr>
          <w:rFonts w:ascii="Arial Narrow" w:eastAsia="Arial Narrow" w:hAnsi="Arial Narrow" w:cs="Arial Narrow"/>
          <w:i/>
          <w:sz w:val="24"/>
          <w:szCs w:val="24"/>
        </w:rPr>
      </w:pPr>
      <w:r w:rsidRPr="00713673">
        <w:rPr>
          <w:rFonts w:ascii="Arial Narrow" w:eastAsia="Arial Narrow" w:hAnsi="Arial Narrow" w:cs="Arial Narrow"/>
          <w:i/>
          <w:sz w:val="24"/>
          <w:szCs w:val="24"/>
        </w:rPr>
        <w:t xml:space="preserve">“Una de las formas especiales de acción afirmativa es la discriminación positiva, es decir, aquel trato diferente que propende por materializar la igualdad real, a través de acciones afirmativas de igualdad </w:t>
      </w:r>
      <w:r w:rsidRPr="00713673">
        <w:rPr>
          <w:rFonts w:ascii="Arial Narrow" w:eastAsia="Arial Narrow" w:hAnsi="Arial Narrow" w:cs="Arial Narrow"/>
          <w:i/>
          <w:sz w:val="24"/>
          <w:szCs w:val="24"/>
        </w:rPr>
        <w:lastRenderedPageBreak/>
        <w:t>que recurren a criterios tradicionalmente utilizados para profundizar o al menos perpetuar la desigualdad, tales como el origen racial, el sexo o las preferencias sexuales(discriminación negativa), pero son utilizados, por el contrario, para romper esa situación de desigualdad o, al menos, para estrechar la brecha de la desigualdad no formalmente jurídica, aunque presente en la sociedad”.</w:t>
      </w:r>
    </w:p>
    <w:p w:rsidR="007B31C6" w:rsidRPr="00713673" w:rsidRDefault="007B31C6" w:rsidP="007B31C6">
      <w:pPr>
        <w:spacing w:after="0"/>
        <w:jc w:val="both"/>
        <w:rPr>
          <w:rFonts w:ascii="Arial Narrow" w:eastAsia="Arial Narrow" w:hAnsi="Arial Narrow" w:cs="Arial Narrow"/>
          <w:sz w:val="24"/>
          <w:szCs w:val="24"/>
        </w:rPr>
      </w:pPr>
    </w:p>
    <w:p w:rsidR="007B31C6" w:rsidRPr="00713673" w:rsidRDefault="007B31C6" w:rsidP="007B31C6">
      <w:pPr>
        <w:spacing w:after="0"/>
        <w:jc w:val="both"/>
        <w:rPr>
          <w:rFonts w:ascii="Arial Narrow" w:eastAsia="Arial Narrow" w:hAnsi="Arial Narrow" w:cs="Arial Narrow"/>
          <w:sz w:val="24"/>
          <w:szCs w:val="24"/>
        </w:rPr>
      </w:pPr>
      <w:r w:rsidRPr="00713673">
        <w:rPr>
          <w:rFonts w:ascii="Arial Narrow" w:eastAsia="Arial Narrow" w:hAnsi="Arial Narrow" w:cs="Arial Narrow"/>
          <w:sz w:val="24"/>
          <w:szCs w:val="24"/>
        </w:rPr>
        <w:t>Para el Tribunal Constitucional, con cierta frecuencia el sexo e incluso el género, son utilizados como instrumento de discriminación irrazonable, particularmente con las mujeres jóvenes, resultando contrario al principio de igualdad. Por ello son pertinentes y necesarias las medidas legislativas que buscan equiparar dicha desigualdad.</w:t>
      </w:r>
    </w:p>
    <w:p w:rsidR="007B31C6" w:rsidRDefault="007B31C6" w:rsidP="007B31C6">
      <w:pPr>
        <w:spacing w:after="0"/>
        <w:jc w:val="both"/>
        <w:rPr>
          <w:rFonts w:ascii="Arial Narrow" w:eastAsia="Arial Narrow" w:hAnsi="Arial Narrow" w:cs="Arial Narrow"/>
          <w:sz w:val="24"/>
          <w:szCs w:val="24"/>
        </w:rPr>
      </w:pPr>
    </w:p>
    <w:p w:rsidR="007B31C6" w:rsidRPr="00097849" w:rsidRDefault="007B31C6" w:rsidP="007B31C6">
      <w:pPr>
        <w:spacing w:after="0"/>
        <w:jc w:val="both"/>
        <w:rPr>
          <w:rFonts w:ascii="Arial Narrow" w:eastAsia="Arial Narrow" w:hAnsi="Arial Narrow" w:cs="Arial Narrow"/>
          <w:sz w:val="24"/>
          <w:szCs w:val="24"/>
        </w:rPr>
      </w:pPr>
    </w:p>
    <w:p w:rsidR="007B31C6" w:rsidRPr="006E0F40" w:rsidRDefault="007B31C6" w:rsidP="007B31C6">
      <w:pPr>
        <w:pStyle w:val="Prrafodelista"/>
        <w:numPr>
          <w:ilvl w:val="0"/>
          <w:numId w:val="1"/>
        </w:numPr>
        <w:jc w:val="both"/>
        <w:rPr>
          <w:rFonts w:ascii="Arial Narrow" w:hAnsi="Arial Narrow"/>
          <w:b/>
          <w:sz w:val="24"/>
          <w:szCs w:val="24"/>
        </w:rPr>
      </w:pPr>
      <w:r w:rsidRPr="006E0F40">
        <w:rPr>
          <w:rFonts w:ascii="Arial Narrow" w:hAnsi="Arial Narrow"/>
          <w:b/>
          <w:sz w:val="24"/>
          <w:szCs w:val="24"/>
        </w:rPr>
        <w:t xml:space="preserve">Marco jurídico internacional. </w:t>
      </w:r>
    </w:p>
    <w:p w:rsidR="007B31C6" w:rsidRPr="006E0F40" w:rsidRDefault="007B31C6" w:rsidP="007B31C6">
      <w:pPr>
        <w:jc w:val="both"/>
        <w:rPr>
          <w:rFonts w:ascii="Arial Narrow" w:hAnsi="Arial Narrow"/>
          <w:color w:val="000000"/>
          <w:sz w:val="24"/>
          <w:szCs w:val="24"/>
        </w:rPr>
      </w:pPr>
      <w:r w:rsidRPr="006E0F40">
        <w:rPr>
          <w:rFonts w:ascii="Arial Narrow" w:hAnsi="Arial Narrow"/>
          <w:sz w:val="24"/>
          <w:szCs w:val="24"/>
        </w:rPr>
        <w:t xml:space="preserve">La Convención sobre la </w:t>
      </w:r>
      <w:r>
        <w:rPr>
          <w:rFonts w:ascii="Arial Narrow" w:hAnsi="Arial Narrow"/>
          <w:sz w:val="24"/>
          <w:szCs w:val="24"/>
        </w:rPr>
        <w:t>E</w:t>
      </w:r>
      <w:r w:rsidRPr="006E0F40">
        <w:rPr>
          <w:rFonts w:ascii="Arial Narrow" w:hAnsi="Arial Narrow"/>
          <w:sz w:val="24"/>
          <w:szCs w:val="24"/>
        </w:rPr>
        <w:t xml:space="preserve">liminación de todas las </w:t>
      </w:r>
      <w:r>
        <w:rPr>
          <w:rFonts w:ascii="Arial Narrow" w:hAnsi="Arial Narrow"/>
          <w:sz w:val="24"/>
          <w:szCs w:val="24"/>
        </w:rPr>
        <w:t>F</w:t>
      </w:r>
      <w:r w:rsidRPr="006E0F40">
        <w:rPr>
          <w:rFonts w:ascii="Arial Narrow" w:hAnsi="Arial Narrow"/>
          <w:sz w:val="24"/>
          <w:szCs w:val="24"/>
        </w:rPr>
        <w:t xml:space="preserve">ormas de </w:t>
      </w:r>
      <w:r>
        <w:rPr>
          <w:rFonts w:ascii="Arial Narrow" w:hAnsi="Arial Narrow"/>
          <w:sz w:val="24"/>
          <w:szCs w:val="24"/>
        </w:rPr>
        <w:t>D</w:t>
      </w:r>
      <w:r w:rsidRPr="006E0F40">
        <w:rPr>
          <w:rFonts w:ascii="Arial Narrow" w:hAnsi="Arial Narrow"/>
          <w:sz w:val="24"/>
          <w:szCs w:val="24"/>
        </w:rPr>
        <w:t xml:space="preserve">iscriminación contra la </w:t>
      </w:r>
      <w:r>
        <w:rPr>
          <w:rFonts w:ascii="Arial Narrow" w:hAnsi="Arial Narrow"/>
          <w:sz w:val="24"/>
          <w:szCs w:val="24"/>
        </w:rPr>
        <w:t>M</w:t>
      </w:r>
      <w:r w:rsidRPr="006E0F40">
        <w:rPr>
          <w:rFonts w:ascii="Arial Narrow" w:hAnsi="Arial Narrow"/>
          <w:sz w:val="24"/>
          <w:szCs w:val="24"/>
        </w:rPr>
        <w:t>ujer</w:t>
      </w:r>
      <w:r>
        <w:rPr>
          <w:rFonts w:ascii="Arial Narrow" w:hAnsi="Arial Narrow"/>
          <w:sz w:val="24"/>
          <w:szCs w:val="24"/>
        </w:rPr>
        <w:t xml:space="preserve"> de 1979</w:t>
      </w:r>
      <w:r w:rsidRPr="006E0F40">
        <w:rPr>
          <w:rFonts w:ascii="Arial Narrow" w:hAnsi="Arial Narrow"/>
          <w:sz w:val="24"/>
          <w:szCs w:val="24"/>
        </w:rPr>
        <w:t xml:space="preserve"> CEDAW</w:t>
      </w:r>
      <w:r>
        <w:rPr>
          <w:rFonts w:ascii="Arial Narrow" w:hAnsi="Arial Narrow"/>
          <w:sz w:val="24"/>
          <w:szCs w:val="24"/>
        </w:rPr>
        <w:t xml:space="preserve"> </w:t>
      </w:r>
      <w:r w:rsidRPr="006E0F40">
        <w:rPr>
          <w:rFonts w:ascii="Arial Narrow" w:hAnsi="Arial Narrow"/>
          <w:sz w:val="24"/>
          <w:szCs w:val="24"/>
        </w:rPr>
        <w:t xml:space="preserve"> por sus siglas en </w:t>
      </w:r>
      <w:r w:rsidR="00CF6577" w:rsidRPr="006E0F40">
        <w:rPr>
          <w:rFonts w:ascii="Arial Narrow" w:hAnsi="Arial Narrow"/>
          <w:sz w:val="24"/>
          <w:szCs w:val="24"/>
        </w:rPr>
        <w:t>inglés</w:t>
      </w:r>
      <w:r w:rsidRPr="006E0F40">
        <w:rPr>
          <w:rFonts w:ascii="Arial Narrow" w:hAnsi="Arial Narrow"/>
          <w:sz w:val="24"/>
          <w:szCs w:val="24"/>
        </w:rPr>
        <w:t xml:space="preserve">, establece en sus artículos 3 y 4 la obligación de los estados partes de tomar en todas las esferas </w:t>
      </w:r>
      <w:r w:rsidRPr="006E0F40">
        <w:rPr>
          <w:rFonts w:ascii="Arial Narrow" w:hAnsi="Arial Narrow"/>
          <w:color w:val="000000"/>
          <w:sz w:val="24"/>
          <w:szCs w:val="24"/>
        </w:rPr>
        <w:t>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 adicionalmente establece que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p w:rsidR="007B31C6" w:rsidRDefault="007B31C6" w:rsidP="007B31C6">
      <w:pPr>
        <w:jc w:val="both"/>
        <w:rPr>
          <w:rFonts w:ascii="Arial Narrow" w:hAnsi="Arial Narrow"/>
          <w:sz w:val="24"/>
          <w:szCs w:val="24"/>
        </w:rPr>
      </w:pPr>
      <w:r w:rsidRPr="006E0F40">
        <w:rPr>
          <w:rFonts w:ascii="Arial Narrow" w:hAnsi="Arial Narrow"/>
          <w:sz w:val="24"/>
          <w:szCs w:val="24"/>
        </w:rPr>
        <w:t>Por su parte el Convenio 111</w:t>
      </w:r>
      <w:r>
        <w:rPr>
          <w:rFonts w:ascii="Arial Narrow" w:hAnsi="Arial Narrow"/>
          <w:sz w:val="24"/>
          <w:szCs w:val="24"/>
        </w:rPr>
        <w:t xml:space="preserve"> de 1958 de la OIT</w:t>
      </w:r>
      <w:r w:rsidRPr="006E0F40">
        <w:rPr>
          <w:rFonts w:ascii="Arial Narrow" w:hAnsi="Arial Narrow"/>
          <w:sz w:val="24"/>
          <w:szCs w:val="24"/>
        </w:rPr>
        <w:t xml:space="preserve"> sobre la Discriminación en el empleo y ocupación promueve la igualdad de oportunidades y de trato con respecto al empleo y la ocupación, sin discriminación alguna por motivos de raza, color, sexo, religión, opinión política, ascendencia nacional u origen social. Los Estados se comprometen a promover la igualdad de oportunidades y de trato mediante una política nacional cuyo propósito sea eliminar todas las formas de discriminación en el empleo y la ocupación. </w:t>
      </w:r>
    </w:p>
    <w:p w:rsidR="007B31C6" w:rsidRPr="006E0F40" w:rsidRDefault="007B31C6" w:rsidP="007B31C6">
      <w:pPr>
        <w:jc w:val="both"/>
        <w:rPr>
          <w:rFonts w:ascii="Arial Narrow" w:hAnsi="Arial Narrow"/>
          <w:sz w:val="24"/>
          <w:szCs w:val="24"/>
        </w:rPr>
      </w:pPr>
      <w:r w:rsidRPr="006E0F40">
        <w:rPr>
          <w:rFonts w:ascii="Arial Narrow" w:hAnsi="Arial Narrow"/>
          <w:sz w:val="24"/>
          <w:szCs w:val="24"/>
        </w:rPr>
        <w:t xml:space="preserve">El Convenio se aplica también al acceso a la formación profesional y a la admisión en el empleo, así como también a las condiciones de trabajo. En ese sentido, las medidas establecidas en este proyecto de ley propenden por alcanzar dichos objetivos. Así establece en su artículo 5.2 Todo Miembro puede, definir como no discriminatorias cualquiera otra medida especial destinada a satisfacer las necesidades particulares de las personas a las que, por razones tales como el sexo, la edad, la invalidez, las cargas de familia o el nivel social o cultural, generalmente se les reconozca la necesidad de protección o asistencia especial. De tal forma que las medidas establecidas en el presente proyecto de ley se consideran medidas afirmativas que apuntan a transformar la desigualdad en materia laboral a las que se ven enfrentadas las mujeres jóvenes. </w:t>
      </w:r>
    </w:p>
    <w:p w:rsidR="007B31C6" w:rsidRDefault="007B31C6" w:rsidP="007B31C6">
      <w:pPr>
        <w:jc w:val="both"/>
        <w:rPr>
          <w:rFonts w:ascii="Arial Narrow" w:hAnsi="Arial Narrow"/>
          <w:sz w:val="24"/>
          <w:szCs w:val="24"/>
        </w:rPr>
      </w:pPr>
      <w:r w:rsidRPr="0032601D">
        <w:rPr>
          <w:rFonts w:ascii="Arial Narrow" w:hAnsi="Arial Narrow"/>
          <w:sz w:val="24"/>
          <w:szCs w:val="24"/>
        </w:rPr>
        <w:lastRenderedPageBreak/>
        <w:t>Por su parte la Declaración y Plataforma de Acción de Beijing</w:t>
      </w:r>
      <w:r>
        <w:rPr>
          <w:rFonts w:ascii="Arial Narrow" w:hAnsi="Arial Narrow"/>
          <w:sz w:val="24"/>
          <w:szCs w:val="24"/>
        </w:rPr>
        <w:t xml:space="preserve"> de 1995,</w:t>
      </w:r>
      <w:r w:rsidRPr="0032601D">
        <w:rPr>
          <w:rFonts w:ascii="Arial Narrow" w:hAnsi="Arial Narrow"/>
          <w:sz w:val="24"/>
          <w:szCs w:val="24"/>
        </w:rPr>
        <w:t xml:space="preserve"> establece dentro de las medidas por adoptar por los gobiernos “Elaborar y aplicar políticas de enseñanza, capacitación y readiestramiento para las mujeres, en particular las jóvenes y las que retornen al mercado de trabajo, para impartirles conocimientos que permitan satisfacer las necesidades de un contexto socioeconómico cambiante, a fin de mejorar sus oportunidades de empleo”</w:t>
      </w:r>
    </w:p>
    <w:p w:rsidR="007B31C6" w:rsidRDefault="007B31C6" w:rsidP="007B31C6">
      <w:pPr>
        <w:jc w:val="both"/>
        <w:rPr>
          <w:rFonts w:ascii="Arial Narrow" w:hAnsi="Arial Narrow"/>
          <w:sz w:val="24"/>
          <w:szCs w:val="24"/>
        </w:rPr>
      </w:pPr>
    </w:p>
    <w:p w:rsidR="007B31C6" w:rsidRDefault="007B31C6" w:rsidP="007B31C6">
      <w:pPr>
        <w:jc w:val="both"/>
        <w:rPr>
          <w:rFonts w:ascii="Arial Narrow" w:hAnsi="Arial Narrow"/>
          <w:sz w:val="24"/>
          <w:szCs w:val="24"/>
        </w:rPr>
      </w:pPr>
      <w:r>
        <w:rPr>
          <w:rFonts w:ascii="Arial Narrow" w:hAnsi="Arial Narrow"/>
          <w:sz w:val="24"/>
          <w:szCs w:val="24"/>
        </w:rPr>
        <w:t xml:space="preserve">De los honorables senadores y representantes, </w:t>
      </w:r>
    </w:p>
    <w:p w:rsidR="007B31C6" w:rsidRDefault="007B31C6" w:rsidP="007B31C6">
      <w:pPr>
        <w:jc w:val="both"/>
        <w:rPr>
          <w:rFonts w:ascii="Arial Narrow" w:hAnsi="Arial Narrow"/>
          <w:sz w:val="24"/>
          <w:szCs w:val="24"/>
        </w:rPr>
      </w:pPr>
    </w:p>
    <w:tbl>
      <w:tblPr>
        <w:tblStyle w:val="Tablaconcuadrcula"/>
        <w:tblW w:w="8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444"/>
      </w:tblGrid>
      <w:tr w:rsidR="00CF6577" w:rsidTr="007A5000">
        <w:trPr>
          <w:trHeight w:val="1856"/>
        </w:trPr>
        <w:tc>
          <w:tcPr>
            <w:tcW w:w="4444" w:type="dxa"/>
          </w:tcPr>
          <w:p w:rsidR="00CF6577" w:rsidRDefault="00CF6577" w:rsidP="006946E9">
            <w:pPr>
              <w:spacing w:after="0"/>
              <w:jc w:val="center"/>
              <w:rPr>
                <w:rFonts w:ascii="Arial Narrow" w:hAnsi="Arial Narrow"/>
                <w:b/>
                <w:sz w:val="24"/>
                <w:szCs w:val="24"/>
              </w:rPr>
            </w:pPr>
          </w:p>
          <w:p w:rsidR="00CF6577" w:rsidRDefault="00CF6577" w:rsidP="006946E9">
            <w:pPr>
              <w:spacing w:after="0"/>
              <w:jc w:val="center"/>
              <w:rPr>
                <w:rFonts w:ascii="Arial Narrow" w:hAnsi="Arial Narrow"/>
                <w:b/>
                <w:sz w:val="24"/>
                <w:szCs w:val="24"/>
              </w:rPr>
            </w:pPr>
          </w:p>
          <w:p w:rsidR="00CF6577" w:rsidRDefault="006946E9" w:rsidP="006946E9">
            <w:pPr>
              <w:spacing w:after="0"/>
              <w:jc w:val="center"/>
              <w:rPr>
                <w:rFonts w:ascii="Arial Narrow" w:hAnsi="Arial Narrow"/>
                <w:b/>
                <w:sz w:val="24"/>
                <w:szCs w:val="24"/>
              </w:rPr>
            </w:pPr>
            <w:r>
              <w:rPr>
                <w:rFonts w:ascii="Arial Narrow" w:hAnsi="Arial Narrow"/>
                <w:b/>
                <w:sz w:val="24"/>
                <w:szCs w:val="24"/>
              </w:rPr>
              <w:t>___________________________________</w:t>
            </w:r>
          </w:p>
          <w:p w:rsidR="00CF6577" w:rsidRPr="00C5722F" w:rsidRDefault="00CF6577" w:rsidP="006946E9">
            <w:pPr>
              <w:spacing w:after="0"/>
              <w:jc w:val="center"/>
              <w:rPr>
                <w:rFonts w:ascii="Arial Narrow" w:hAnsi="Arial Narrow"/>
                <w:b/>
                <w:sz w:val="24"/>
                <w:szCs w:val="24"/>
              </w:rPr>
            </w:pPr>
            <w:r w:rsidRPr="00C5722F">
              <w:rPr>
                <w:rFonts w:ascii="Arial Narrow" w:hAnsi="Arial Narrow"/>
                <w:b/>
                <w:sz w:val="24"/>
                <w:szCs w:val="24"/>
              </w:rPr>
              <w:t>VICTORIA SANDINO SIMANCA HERRERA</w:t>
            </w:r>
          </w:p>
          <w:p w:rsidR="00CF6577" w:rsidRDefault="00CF6577" w:rsidP="006946E9">
            <w:pPr>
              <w:spacing w:after="0"/>
              <w:jc w:val="center"/>
              <w:rPr>
                <w:rFonts w:ascii="Arial Narrow" w:hAnsi="Arial Narrow"/>
                <w:sz w:val="24"/>
                <w:szCs w:val="24"/>
              </w:rPr>
            </w:pPr>
            <w:r>
              <w:rPr>
                <w:rFonts w:ascii="Arial Narrow" w:hAnsi="Arial Narrow"/>
                <w:sz w:val="24"/>
                <w:szCs w:val="24"/>
              </w:rPr>
              <w:t>Senadora de la República</w:t>
            </w:r>
          </w:p>
        </w:tc>
        <w:tc>
          <w:tcPr>
            <w:tcW w:w="4444" w:type="dxa"/>
          </w:tcPr>
          <w:p w:rsidR="00CF6577" w:rsidRDefault="00CF6577" w:rsidP="006946E9">
            <w:pPr>
              <w:spacing w:after="0"/>
              <w:jc w:val="center"/>
              <w:rPr>
                <w:rFonts w:ascii="Arial Narrow" w:hAnsi="Arial Narrow"/>
                <w:b/>
                <w:sz w:val="24"/>
                <w:szCs w:val="24"/>
              </w:rPr>
            </w:pPr>
          </w:p>
          <w:p w:rsidR="00CF6577" w:rsidRDefault="00CF6577"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r>
              <w:rPr>
                <w:rFonts w:ascii="Arial Narrow" w:hAnsi="Arial Narrow"/>
                <w:b/>
                <w:sz w:val="24"/>
                <w:szCs w:val="24"/>
              </w:rPr>
              <w:t>___________________________________</w:t>
            </w:r>
          </w:p>
          <w:p w:rsidR="007A5000" w:rsidRPr="00C5722F" w:rsidRDefault="007A5000" w:rsidP="007A5000">
            <w:pPr>
              <w:spacing w:after="0"/>
              <w:jc w:val="center"/>
              <w:rPr>
                <w:rFonts w:ascii="Arial Narrow" w:hAnsi="Arial Narrow"/>
                <w:b/>
                <w:sz w:val="24"/>
                <w:szCs w:val="24"/>
              </w:rPr>
            </w:pPr>
            <w:r>
              <w:rPr>
                <w:rFonts w:ascii="Arial Narrow" w:hAnsi="Arial Narrow"/>
                <w:b/>
                <w:sz w:val="24"/>
                <w:szCs w:val="24"/>
              </w:rPr>
              <w:t>PABLO CATATUMBO TORRES</w:t>
            </w:r>
          </w:p>
          <w:p w:rsidR="007A5000" w:rsidRDefault="007A5000" w:rsidP="007A5000">
            <w:pPr>
              <w:spacing w:after="0"/>
              <w:jc w:val="center"/>
              <w:rPr>
                <w:rFonts w:ascii="Arial Narrow" w:hAnsi="Arial Narrow"/>
                <w:b/>
                <w:sz w:val="24"/>
                <w:szCs w:val="24"/>
              </w:rPr>
            </w:pPr>
            <w:r>
              <w:rPr>
                <w:rFonts w:ascii="Arial Narrow" w:hAnsi="Arial Narrow"/>
                <w:sz w:val="24"/>
                <w:szCs w:val="24"/>
              </w:rPr>
              <w:t>Senador de la República</w:t>
            </w:r>
          </w:p>
          <w:p w:rsidR="007A5000" w:rsidRDefault="007A5000" w:rsidP="006946E9">
            <w:pPr>
              <w:spacing w:after="0"/>
              <w:jc w:val="center"/>
              <w:rPr>
                <w:rFonts w:ascii="Arial Narrow" w:hAnsi="Arial Narrow"/>
                <w:b/>
                <w:sz w:val="24"/>
                <w:szCs w:val="24"/>
              </w:rPr>
            </w:pPr>
          </w:p>
          <w:p w:rsidR="00CF6577" w:rsidRDefault="00CF6577" w:rsidP="006946E9">
            <w:pPr>
              <w:jc w:val="center"/>
              <w:rPr>
                <w:rFonts w:ascii="Arial Narrow" w:hAnsi="Arial Narrow"/>
                <w:sz w:val="24"/>
                <w:szCs w:val="24"/>
              </w:rPr>
            </w:pPr>
          </w:p>
        </w:tc>
      </w:tr>
      <w:tr w:rsidR="00CF6577" w:rsidTr="007A5000">
        <w:trPr>
          <w:trHeight w:val="1130"/>
        </w:trPr>
        <w:tc>
          <w:tcPr>
            <w:tcW w:w="4444" w:type="dxa"/>
          </w:tcPr>
          <w:p w:rsidR="00CF6577" w:rsidRDefault="00CF6577" w:rsidP="007A5000">
            <w:pPr>
              <w:spacing w:after="0"/>
              <w:rPr>
                <w:rFonts w:ascii="Arial Narrow" w:hAnsi="Arial Narrow"/>
                <w:b/>
                <w:sz w:val="24"/>
                <w:szCs w:val="24"/>
              </w:rPr>
            </w:pPr>
          </w:p>
          <w:p w:rsidR="00CF6577" w:rsidRDefault="006946E9" w:rsidP="006946E9">
            <w:pPr>
              <w:spacing w:after="0"/>
              <w:jc w:val="center"/>
              <w:rPr>
                <w:rFonts w:ascii="Arial Narrow" w:hAnsi="Arial Narrow"/>
                <w:b/>
                <w:sz w:val="24"/>
                <w:szCs w:val="24"/>
              </w:rPr>
            </w:pPr>
            <w:r>
              <w:rPr>
                <w:rFonts w:ascii="Arial Narrow" w:hAnsi="Arial Narrow"/>
                <w:b/>
                <w:sz w:val="24"/>
                <w:szCs w:val="24"/>
              </w:rPr>
              <w:t>___________________________________</w:t>
            </w:r>
          </w:p>
          <w:p w:rsidR="007A5000" w:rsidRPr="00C5722F" w:rsidRDefault="007A5000" w:rsidP="007A5000">
            <w:pPr>
              <w:spacing w:after="0"/>
              <w:jc w:val="center"/>
              <w:rPr>
                <w:rFonts w:ascii="Arial Narrow" w:hAnsi="Arial Narrow"/>
                <w:b/>
                <w:sz w:val="24"/>
                <w:szCs w:val="24"/>
              </w:rPr>
            </w:pPr>
            <w:r>
              <w:rPr>
                <w:rFonts w:ascii="Arial Narrow" w:hAnsi="Arial Narrow"/>
                <w:b/>
                <w:sz w:val="24"/>
                <w:szCs w:val="24"/>
              </w:rPr>
              <w:t>CRISELDA LOBO</w:t>
            </w:r>
          </w:p>
          <w:p w:rsidR="00CF6577" w:rsidRDefault="007A5000" w:rsidP="007A5000">
            <w:pPr>
              <w:jc w:val="center"/>
              <w:rPr>
                <w:rFonts w:ascii="Arial Narrow" w:hAnsi="Arial Narrow"/>
                <w:sz w:val="24"/>
                <w:szCs w:val="24"/>
              </w:rPr>
            </w:pPr>
            <w:r>
              <w:rPr>
                <w:rFonts w:ascii="Arial Narrow" w:hAnsi="Arial Narrow"/>
                <w:sz w:val="24"/>
                <w:szCs w:val="24"/>
              </w:rPr>
              <w:t>Senadora de la República</w:t>
            </w:r>
          </w:p>
        </w:tc>
        <w:tc>
          <w:tcPr>
            <w:tcW w:w="4444" w:type="dxa"/>
          </w:tcPr>
          <w:p w:rsidR="00CF6577" w:rsidRDefault="00CF6577" w:rsidP="007A5000">
            <w:pPr>
              <w:spacing w:after="0"/>
              <w:rPr>
                <w:rFonts w:ascii="Arial Narrow" w:hAnsi="Arial Narrow"/>
                <w:b/>
                <w:sz w:val="24"/>
                <w:szCs w:val="24"/>
              </w:rPr>
            </w:pPr>
          </w:p>
          <w:p w:rsidR="00CF6577" w:rsidRDefault="006946E9" w:rsidP="006946E9">
            <w:pPr>
              <w:spacing w:after="0"/>
              <w:jc w:val="center"/>
              <w:rPr>
                <w:rFonts w:ascii="Arial Narrow" w:hAnsi="Arial Narrow"/>
                <w:b/>
                <w:sz w:val="24"/>
                <w:szCs w:val="24"/>
              </w:rPr>
            </w:pPr>
            <w:r>
              <w:rPr>
                <w:rFonts w:ascii="Arial Narrow" w:hAnsi="Arial Narrow"/>
                <w:b/>
                <w:sz w:val="24"/>
                <w:szCs w:val="24"/>
              </w:rPr>
              <w:t>___________________________________</w:t>
            </w:r>
          </w:p>
          <w:p w:rsidR="00CF6577" w:rsidRPr="00C5722F" w:rsidRDefault="00CF6577" w:rsidP="006946E9">
            <w:pPr>
              <w:spacing w:after="0"/>
              <w:jc w:val="center"/>
              <w:rPr>
                <w:rFonts w:ascii="Arial Narrow" w:hAnsi="Arial Narrow"/>
                <w:b/>
                <w:sz w:val="24"/>
                <w:szCs w:val="24"/>
              </w:rPr>
            </w:pPr>
            <w:r>
              <w:rPr>
                <w:rFonts w:ascii="Arial Narrow" w:hAnsi="Arial Narrow"/>
                <w:b/>
                <w:sz w:val="24"/>
                <w:szCs w:val="24"/>
              </w:rPr>
              <w:t>JULIAN GALLO</w:t>
            </w:r>
          </w:p>
          <w:p w:rsidR="00CF6577" w:rsidRDefault="00CF6577" w:rsidP="006946E9">
            <w:pPr>
              <w:jc w:val="center"/>
              <w:rPr>
                <w:rFonts w:ascii="Arial Narrow" w:hAnsi="Arial Narrow"/>
                <w:sz w:val="24"/>
                <w:szCs w:val="24"/>
              </w:rPr>
            </w:pPr>
            <w:r>
              <w:rPr>
                <w:rFonts w:ascii="Arial Narrow" w:hAnsi="Arial Narrow"/>
                <w:sz w:val="24"/>
                <w:szCs w:val="24"/>
              </w:rPr>
              <w:t>Senador de la República</w:t>
            </w:r>
          </w:p>
        </w:tc>
      </w:tr>
      <w:tr w:rsidR="00E96E4C" w:rsidTr="007A5000">
        <w:trPr>
          <w:trHeight w:val="1706"/>
        </w:trPr>
        <w:tc>
          <w:tcPr>
            <w:tcW w:w="4444" w:type="dxa"/>
          </w:tcPr>
          <w:p w:rsidR="00E96E4C" w:rsidRDefault="00E96E4C" w:rsidP="006946E9">
            <w:pPr>
              <w:spacing w:after="0"/>
              <w:jc w:val="center"/>
              <w:rPr>
                <w:rFonts w:ascii="Arial Narrow" w:hAnsi="Arial Narrow"/>
                <w:b/>
                <w:sz w:val="24"/>
                <w:szCs w:val="24"/>
              </w:rPr>
            </w:pPr>
          </w:p>
          <w:p w:rsidR="007A5000" w:rsidRDefault="007A5000" w:rsidP="006946E9">
            <w:pPr>
              <w:spacing w:after="0"/>
              <w:jc w:val="center"/>
              <w:rPr>
                <w:rFonts w:ascii="Arial Narrow" w:hAnsi="Arial Narrow"/>
                <w:b/>
                <w:sz w:val="24"/>
                <w:szCs w:val="24"/>
              </w:rPr>
            </w:pPr>
          </w:p>
          <w:p w:rsidR="00E96E4C" w:rsidRDefault="00E96E4C" w:rsidP="00E96E4C">
            <w:pPr>
              <w:spacing w:after="0"/>
              <w:jc w:val="center"/>
              <w:rPr>
                <w:rFonts w:ascii="Arial Narrow" w:hAnsi="Arial Narrow"/>
                <w:b/>
                <w:sz w:val="24"/>
                <w:szCs w:val="24"/>
              </w:rPr>
            </w:pPr>
            <w:r>
              <w:rPr>
                <w:rFonts w:ascii="Arial Narrow" w:hAnsi="Arial Narrow"/>
                <w:b/>
                <w:sz w:val="24"/>
                <w:szCs w:val="24"/>
              </w:rPr>
              <w:t>___________________________________</w:t>
            </w:r>
          </w:p>
          <w:p w:rsidR="00E96E4C" w:rsidRPr="00C5722F" w:rsidRDefault="00E96E4C" w:rsidP="00E96E4C">
            <w:pPr>
              <w:spacing w:after="0"/>
              <w:jc w:val="center"/>
              <w:rPr>
                <w:rFonts w:ascii="Arial Narrow" w:hAnsi="Arial Narrow"/>
                <w:b/>
                <w:sz w:val="24"/>
                <w:szCs w:val="24"/>
              </w:rPr>
            </w:pPr>
            <w:r>
              <w:rPr>
                <w:rFonts w:ascii="Arial Narrow" w:hAnsi="Arial Narrow"/>
                <w:b/>
                <w:sz w:val="24"/>
                <w:szCs w:val="24"/>
              </w:rPr>
              <w:t>JAIRO CALA</w:t>
            </w:r>
          </w:p>
          <w:p w:rsidR="00E96E4C" w:rsidRDefault="00E96E4C" w:rsidP="00E96E4C">
            <w:pPr>
              <w:spacing w:after="0"/>
              <w:jc w:val="center"/>
              <w:rPr>
                <w:rFonts w:ascii="Arial Narrow" w:hAnsi="Arial Narrow"/>
                <w:b/>
                <w:sz w:val="24"/>
                <w:szCs w:val="24"/>
              </w:rPr>
            </w:pPr>
            <w:r>
              <w:rPr>
                <w:rFonts w:ascii="Arial Narrow" w:hAnsi="Arial Narrow"/>
                <w:sz w:val="24"/>
                <w:szCs w:val="24"/>
              </w:rPr>
              <w:t>Representante a la Cámara</w:t>
            </w:r>
          </w:p>
          <w:p w:rsidR="00E96E4C" w:rsidRDefault="00E96E4C" w:rsidP="006946E9">
            <w:pPr>
              <w:spacing w:after="0"/>
              <w:jc w:val="center"/>
              <w:rPr>
                <w:rFonts w:ascii="Arial Narrow" w:hAnsi="Arial Narrow"/>
                <w:b/>
                <w:sz w:val="24"/>
                <w:szCs w:val="24"/>
              </w:rPr>
            </w:pPr>
          </w:p>
          <w:p w:rsidR="00E96E4C" w:rsidRDefault="00E96E4C" w:rsidP="006946E9">
            <w:pPr>
              <w:spacing w:after="0"/>
              <w:jc w:val="center"/>
              <w:rPr>
                <w:rFonts w:ascii="Arial Narrow" w:hAnsi="Arial Narrow"/>
                <w:b/>
                <w:sz w:val="24"/>
                <w:szCs w:val="24"/>
              </w:rPr>
            </w:pPr>
          </w:p>
        </w:tc>
        <w:tc>
          <w:tcPr>
            <w:tcW w:w="4444" w:type="dxa"/>
          </w:tcPr>
          <w:p w:rsidR="00E96E4C" w:rsidRDefault="00E96E4C" w:rsidP="007A5000">
            <w:pPr>
              <w:spacing w:after="0"/>
              <w:rPr>
                <w:rFonts w:ascii="Arial Narrow" w:hAnsi="Arial Narrow"/>
                <w:b/>
                <w:sz w:val="24"/>
                <w:szCs w:val="24"/>
              </w:rPr>
            </w:pPr>
          </w:p>
          <w:p w:rsidR="007A5000" w:rsidRDefault="007A5000" w:rsidP="007A5000">
            <w:pPr>
              <w:spacing w:after="0"/>
              <w:rPr>
                <w:rFonts w:ascii="Arial Narrow" w:hAnsi="Arial Narrow"/>
                <w:b/>
                <w:sz w:val="24"/>
                <w:szCs w:val="24"/>
              </w:rPr>
            </w:pPr>
          </w:p>
          <w:p w:rsidR="00E96E4C" w:rsidRDefault="00E96E4C" w:rsidP="00E96E4C">
            <w:pPr>
              <w:spacing w:after="0"/>
              <w:rPr>
                <w:rFonts w:ascii="Arial Narrow" w:hAnsi="Arial Narrow"/>
                <w:b/>
                <w:sz w:val="24"/>
                <w:szCs w:val="24"/>
              </w:rPr>
            </w:pPr>
            <w:r>
              <w:rPr>
                <w:rFonts w:ascii="Arial Narrow" w:hAnsi="Arial Narrow"/>
                <w:b/>
                <w:sz w:val="24"/>
                <w:szCs w:val="24"/>
              </w:rPr>
              <w:t>___________________________________</w:t>
            </w:r>
          </w:p>
          <w:p w:rsidR="00E96E4C" w:rsidRPr="00C5722F" w:rsidRDefault="00E96E4C" w:rsidP="00E96E4C">
            <w:pPr>
              <w:spacing w:after="0"/>
              <w:jc w:val="center"/>
              <w:rPr>
                <w:rFonts w:ascii="Arial Narrow" w:hAnsi="Arial Narrow"/>
                <w:b/>
                <w:sz w:val="24"/>
                <w:szCs w:val="24"/>
              </w:rPr>
            </w:pPr>
            <w:r>
              <w:rPr>
                <w:rFonts w:ascii="Arial Narrow" w:hAnsi="Arial Narrow"/>
                <w:b/>
                <w:sz w:val="24"/>
                <w:szCs w:val="24"/>
              </w:rPr>
              <w:t>OLMEDO RUIZ</w:t>
            </w:r>
          </w:p>
          <w:p w:rsidR="00E96E4C" w:rsidRDefault="00E96E4C" w:rsidP="00E96E4C">
            <w:pPr>
              <w:spacing w:after="0"/>
              <w:jc w:val="center"/>
              <w:rPr>
                <w:rFonts w:ascii="Arial Narrow" w:hAnsi="Arial Narrow"/>
                <w:b/>
                <w:sz w:val="24"/>
                <w:szCs w:val="24"/>
              </w:rPr>
            </w:pPr>
            <w:r>
              <w:rPr>
                <w:rFonts w:ascii="Arial Narrow" w:hAnsi="Arial Narrow"/>
                <w:sz w:val="24"/>
                <w:szCs w:val="24"/>
              </w:rPr>
              <w:t>Representante a la Cámara</w:t>
            </w:r>
          </w:p>
        </w:tc>
      </w:tr>
      <w:tr w:rsidR="00E96E4C" w:rsidTr="007A5000">
        <w:trPr>
          <w:trHeight w:val="1210"/>
        </w:trPr>
        <w:tc>
          <w:tcPr>
            <w:tcW w:w="4444" w:type="dxa"/>
          </w:tcPr>
          <w:p w:rsidR="00E96E4C" w:rsidRDefault="00E96E4C" w:rsidP="00E96E4C">
            <w:pPr>
              <w:spacing w:after="0"/>
              <w:rPr>
                <w:rFonts w:ascii="Arial Narrow" w:hAnsi="Arial Narrow"/>
                <w:b/>
                <w:sz w:val="24"/>
                <w:szCs w:val="24"/>
              </w:rPr>
            </w:pPr>
          </w:p>
          <w:p w:rsidR="00E96E4C" w:rsidRDefault="00E96E4C" w:rsidP="00E96E4C">
            <w:pPr>
              <w:spacing w:after="0"/>
              <w:jc w:val="center"/>
              <w:rPr>
                <w:rFonts w:ascii="Arial Narrow" w:hAnsi="Arial Narrow"/>
                <w:b/>
                <w:sz w:val="24"/>
                <w:szCs w:val="24"/>
              </w:rPr>
            </w:pPr>
            <w:r>
              <w:rPr>
                <w:rFonts w:ascii="Arial Narrow" w:hAnsi="Arial Narrow"/>
                <w:b/>
                <w:sz w:val="24"/>
                <w:szCs w:val="24"/>
              </w:rPr>
              <w:t>___________________________________</w:t>
            </w:r>
          </w:p>
          <w:p w:rsidR="00E96E4C" w:rsidRPr="00C5722F" w:rsidRDefault="00E96E4C" w:rsidP="00E96E4C">
            <w:pPr>
              <w:spacing w:after="0"/>
              <w:jc w:val="center"/>
              <w:rPr>
                <w:rFonts w:ascii="Arial Narrow" w:hAnsi="Arial Narrow"/>
                <w:b/>
                <w:sz w:val="24"/>
                <w:szCs w:val="24"/>
              </w:rPr>
            </w:pPr>
            <w:r>
              <w:rPr>
                <w:rFonts w:ascii="Arial Narrow" w:hAnsi="Arial Narrow"/>
                <w:b/>
                <w:sz w:val="24"/>
                <w:szCs w:val="24"/>
              </w:rPr>
              <w:t>CARLOS CARREÑO</w:t>
            </w:r>
          </w:p>
          <w:p w:rsidR="00E96E4C" w:rsidRDefault="00E96E4C" w:rsidP="00E96E4C">
            <w:pPr>
              <w:spacing w:after="0"/>
              <w:jc w:val="center"/>
              <w:rPr>
                <w:rFonts w:ascii="Arial Narrow" w:hAnsi="Arial Narrow"/>
                <w:b/>
                <w:sz w:val="24"/>
                <w:szCs w:val="24"/>
              </w:rPr>
            </w:pPr>
            <w:r>
              <w:rPr>
                <w:rFonts w:ascii="Arial Narrow" w:hAnsi="Arial Narrow"/>
                <w:sz w:val="24"/>
                <w:szCs w:val="24"/>
              </w:rPr>
              <w:t>Representante a la Cámara</w:t>
            </w:r>
          </w:p>
          <w:p w:rsidR="00E96E4C" w:rsidRDefault="00E96E4C" w:rsidP="006946E9">
            <w:pPr>
              <w:spacing w:after="0"/>
              <w:jc w:val="center"/>
              <w:rPr>
                <w:rFonts w:ascii="Arial Narrow" w:hAnsi="Arial Narrow"/>
                <w:b/>
                <w:sz w:val="24"/>
                <w:szCs w:val="24"/>
              </w:rPr>
            </w:pPr>
          </w:p>
        </w:tc>
        <w:tc>
          <w:tcPr>
            <w:tcW w:w="4444" w:type="dxa"/>
          </w:tcPr>
          <w:p w:rsidR="00E96E4C" w:rsidRDefault="00E96E4C" w:rsidP="00E96E4C">
            <w:pPr>
              <w:spacing w:after="0"/>
              <w:rPr>
                <w:rFonts w:ascii="Arial Narrow" w:hAnsi="Arial Narrow"/>
                <w:b/>
                <w:sz w:val="24"/>
                <w:szCs w:val="24"/>
              </w:rPr>
            </w:pPr>
          </w:p>
          <w:p w:rsidR="00E96E4C" w:rsidRDefault="00E96E4C" w:rsidP="00E96E4C">
            <w:pPr>
              <w:spacing w:after="0"/>
              <w:jc w:val="center"/>
              <w:rPr>
                <w:rFonts w:ascii="Arial Narrow" w:hAnsi="Arial Narrow"/>
                <w:b/>
                <w:sz w:val="24"/>
                <w:szCs w:val="24"/>
              </w:rPr>
            </w:pPr>
            <w:r>
              <w:rPr>
                <w:rFonts w:ascii="Arial Narrow" w:hAnsi="Arial Narrow"/>
                <w:b/>
                <w:sz w:val="24"/>
                <w:szCs w:val="24"/>
              </w:rPr>
              <w:t>___________________________________</w:t>
            </w:r>
          </w:p>
          <w:p w:rsidR="00E96E4C" w:rsidRPr="00C5722F" w:rsidRDefault="00E96E4C" w:rsidP="00E96E4C">
            <w:pPr>
              <w:spacing w:after="0"/>
              <w:jc w:val="center"/>
              <w:rPr>
                <w:rFonts w:ascii="Arial Narrow" w:hAnsi="Arial Narrow"/>
                <w:b/>
                <w:sz w:val="24"/>
                <w:szCs w:val="24"/>
              </w:rPr>
            </w:pPr>
            <w:r>
              <w:rPr>
                <w:rFonts w:ascii="Arial Narrow" w:hAnsi="Arial Narrow"/>
                <w:b/>
                <w:sz w:val="24"/>
                <w:szCs w:val="24"/>
              </w:rPr>
              <w:t>LUIS ALBERTO ALBAN</w:t>
            </w:r>
          </w:p>
          <w:p w:rsidR="00E96E4C" w:rsidRDefault="00E96E4C" w:rsidP="00E96E4C">
            <w:pPr>
              <w:spacing w:after="0"/>
              <w:jc w:val="center"/>
              <w:rPr>
                <w:rFonts w:ascii="Arial Narrow" w:hAnsi="Arial Narrow"/>
                <w:b/>
                <w:sz w:val="24"/>
                <w:szCs w:val="24"/>
              </w:rPr>
            </w:pPr>
            <w:r>
              <w:rPr>
                <w:rFonts w:ascii="Arial Narrow" w:hAnsi="Arial Narrow"/>
                <w:sz w:val="24"/>
                <w:szCs w:val="24"/>
              </w:rPr>
              <w:t>Representante a la Cámara</w:t>
            </w:r>
          </w:p>
          <w:p w:rsidR="00E96E4C" w:rsidRDefault="00E96E4C" w:rsidP="00E96E4C">
            <w:pPr>
              <w:spacing w:after="0"/>
              <w:rPr>
                <w:rFonts w:ascii="Arial Narrow" w:hAnsi="Arial Narrow"/>
                <w:b/>
                <w:sz w:val="24"/>
                <w:szCs w:val="24"/>
              </w:rPr>
            </w:pPr>
          </w:p>
        </w:tc>
      </w:tr>
      <w:tr w:rsidR="00CF6577" w:rsidTr="007A5000">
        <w:trPr>
          <w:trHeight w:val="1222"/>
        </w:trPr>
        <w:tc>
          <w:tcPr>
            <w:tcW w:w="4444" w:type="dxa"/>
          </w:tcPr>
          <w:p w:rsidR="006946E9" w:rsidRDefault="006946E9" w:rsidP="00E96E4C">
            <w:pPr>
              <w:spacing w:after="0"/>
              <w:rPr>
                <w:rFonts w:ascii="Arial Narrow" w:hAnsi="Arial Narrow"/>
                <w:b/>
                <w:sz w:val="24"/>
                <w:szCs w:val="24"/>
              </w:rPr>
            </w:pPr>
          </w:p>
          <w:p w:rsidR="007A5000" w:rsidRDefault="007A5000" w:rsidP="00E96E4C">
            <w:pPr>
              <w:spacing w:after="0"/>
              <w:rPr>
                <w:rFonts w:ascii="Arial Narrow" w:hAnsi="Arial Narrow"/>
                <w:b/>
                <w:sz w:val="24"/>
                <w:szCs w:val="24"/>
              </w:rPr>
            </w:pPr>
          </w:p>
          <w:p w:rsidR="007A5000" w:rsidRDefault="007A5000" w:rsidP="00E96E4C">
            <w:pPr>
              <w:spacing w:after="0"/>
              <w:rPr>
                <w:rFonts w:ascii="Arial Narrow" w:hAnsi="Arial Narrow"/>
                <w:b/>
                <w:sz w:val="24"/>
                <w:szCs w:val="24"/>
              </w:rPr>
            </w:pPr>
          </w:p>
          <w:p w:rsidR="007A5000" w:rsidRDefault="007A5000" w:rsidP="00E96E4C">
            <w:pPr>
              <w:spacing w:after="0"/>
              <w:rPr>
                <w:rFonts w:ascii="Arial Narrow" w:hAnsi="Arial Narrow"/>
                <w:b/>
                <w:sz w:val="24"/>
                <w:szCs w:val="24"/>
              </w:rPr>
            </w:pPr>
          </w:p>
          <w:p w:rsidR="007A5000" w:rsidRDefault="007A5000" w:rsidP="00E96E4C">
            <w:pPr>
              <w:spacing w:after="0"/>
              <w:rPr>
                <w:rFonts w:ascii="Arial Narrow" w:hAnsi="Arial Narrow"/>
                <w:b/>
                <w:sz w:val="24"/>
                <w:szCs w:val="24"/>
              </w:rPr>
            </w:pPr>
          </w:p>
          <w:p w:rsidR="007A5000" w:rsidRDefault="007A5000" w:rsidP="00E96E4C">
            <w:pPr>
              <w:spacing w:after="0"/>
              <w:rPr>
                <w:rFonts w:ascii="Arial Narrow" w:hAnsi="Arial Narrow"/>
                <w:b/>
                <w:sz w:val="24"/>
                <w:szCs w:val="24"/>
              </w:rPr>
            </w:pPr>
          </w:p>
          <w:p w:rsidR="007A5000" w:rsidRDefault="007A5000" w:rsidP="00E96E4C">
            <w:pPr>
              <w:spacing w:after="0"/>
              <w:rPr>
                <w:rFonts w:ascii="Arial Narrow" w:hAnsi="Arial Narrow"/>
                <w:b/>
                <w:sz w:val="24"/>
                <w:szCs w:val="24"/>
              </w:rPr>
            </w:pPr>
          </w:p>
          <w:p w:rsidR="006946E9" w:rsidRDefault="006946E9" w:rsidP="006946E9">
            <w:pPr>
              <w:spacing w:after="0"/>
              <w:jc w:val="center"/>
              <w:rPr>
                <w:rFonts w:ascii="Arial Narrow" w:hAnsi="Arial Narrow"/>
                <w:b/>
                <w:sz w:val="24"/>
                <w:szCs w:val="24"/>
              </w:rPr>
            </w:pPr>
            <w:r>
              <w:rPr>
                <w:rFonts w:ascii="Arial Narrow" w:hAnsi="Arial Narrow"/>
                <w:b/>
                <w:sz w:val="24"/>
                <w:szCs w:val="24"/>
              </w:rPr>
              <w:t>___________________________________</w:t>
            </w:r>
          </w:p>
          <w:p w:rsidR="00CF6577" w:rsidRPr="00C5722F" w:rsidRDefault="00CF6577" w:rsidP="006946E9">
            <w:pPr>
              <w:spacing w:after="0"/>
              <w:jc w:val="center"/>
              <w:rPr>
                <w:rFonts w:ascii="Arial Narrow" w:hAnsi="Arial Narrow"/>
                <w:b/>
                <w:sz w:val="24"/>
                <w:szCs w:val="24"/>
              </w:rPr>
            </w:pPr>
            <w:r>
              <w:rPr>
                <w:rFonts w:ascii="Arial Narrow" w:hAnsi="Arial Narrow"/>
                <w:b/>
                <w:sz w:val="24"/>
                <w:szCs w:val="24"/>
              </w:rPr>
              <w:t>AIDA AVELLA</w:t>
            </w:r>
          </w:p>
          <w:p w:rsidR="00CF6577" w:rsidRDefault="00CF6577" w:rsidP="006946E9">
            <w:pPr>
              <w:jc w:val="center"/>
              <w:rPr>
                <w:rFonts w:ascii="Arial Narrow" w:hAnsi="Arial Narrow"/>
                <w:sz w:val="24"/>
                <w:szCs w:val="24"/>
              </w:rPr>
            </w:pPr>
            <w:r>
              <w:rPr>
                <w:rFonts w:ascii="Arial Narrow" w:hAnsi="Arial Narrow"/>
                <w:sz w:val="24"/>
                <w:szCs w:val="24"/>
              </w:rPr>
              <w:t>Senadora de la República</w:t>
            </w:r>
          </w:p>
        </w:tc>
        <w:tc>
          <w:tcPr>
            <w:tcW w:w="4444" w:type="dxa"/>
          </w:tcPr>
          <w:p w:rsidR="006946E9" w:rsidRDefault="006946E9" w:rsidP="00E96E4C">
            <w:pPr>
              <w:spacing w:after="0"/>
              <w:rPr>
                <w:rFonts w:ascii="Arial Narrow" w:hAnsi="Arial Narrow"/>
                <w:b/>
                <w:sz w:val="24"/>
                <w:szCs w:val="24"/>
              </w:rPr>
            </w:pPr>
          </w:p>
          <w:p w:rsidR="007A5000" w:rsidRDefault="007A5000" w:rsidP="00E96E4C">
            <w:pPr>
              <w:spacing w:after="0"/>
              <w:rPr>
                <w:rFonts w:ascii="Arial Narrow" w:hAnsi="Arial Narrow"/>
                <w:b/>
                <w:sz w:val="24"/>
                <w:szCs w:val="24"/>
              </w:rPr>
            </w:pPr>
          </w:p>
          <w:p w:rsidR="007A5000" w:rsidRDefault="007A5000" w:rsidP="00E96E4C">
            <w:pPr>
              <w:spacing w:after="0"/>
              <w:rPr>
                <w:rFonts w:ascii="Arial Narrow" w:hAnsi="Arial Narrow"/>
                <w:b/>
                <w:sz w:val="24"/>
                <w:szCs w:val="24"/>
              </w:rPr>
            </w:pPr>
          </w:p>
          <w:p w:rsidR="007A5000" w:rsidRDefault="007A5000" w:rsidP="00E96E4C">
            <w:pPr>
              <w:spacing w:after="0"/>
              <w:rPr>
                <w:rFonts w:ascii="Arial Narrow" w:hAnsi="Arial Narrow"/>
                <w:b/>
                <w:sz w:val="24"/>
                <w:szCs w:val="24"/>
              </w:rPr>
            </w:pPr>
          </w:p>
          <w:p w:rsidR="007A5000" w:rsidRDefault="007A5000" w:rsidP="007A5000">
            <w:pPr>
              <w:spacing w:after="0"/>
              <w:rPr>
                <w:rFonts w:ascii="Arial Narrow" w:hAnsi="Arial Narrow"/>
                <w:b/>
                <w:sz w:val="24"/>
                <w:szCs w:val="24"/>
              </w:rPr>
            </w:pPr>
          </w:p>
          <w:p w:rsidR="007A5000" w:rsidRDefault="007A5000" w:rsidP="006946E9">
            <w:pPr>
              <w:spacing w:after="0"/>
              <w:jc w:val="center"/>
              <w:rPr>
                <w:rFonts w:ascii="Arial Narrow" w:hAnsi="Arial Narrow"/>
                <w:b/>
                <w:sz w:val="24"/>
                <w:szCs w:val="24"/>
              </w:rPr>
            </w:pPr>
          </w:p>
          <w:p w:rsidR="007A5000" w:rsidRDefault="007A5000"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r>
              <w:rPr>
                <w:rFonts w:ascii="Arial Narrow" w:hAnsi="Arial Narrow"/>
                <w:b/>
                <w:sz w:val="24"/>
                <w:szCs w:val="24"/>
              </w:rPr>
              <w:t>_____________________</w:t>
            </w:r>
            <w:r w:rsidR="007A5000">
              <w:rPr>
                <w:rFonts w:ascii="Arial Narrow" w:hAnsi="Arial Narrow"/>
                <w:b/>
                <w:sz w:val="24"/>
                <w:szCs w:val="24"/>
              </w:rPr>
              <w:t>_____________</w:t>
            </w:r>
          </w:p>
          <w:p w:rsidR="00CF6577" w:rsidRPr="00C5722F" w:rsidRDefault="00CF6577" w:rsidP="006946E9">
            <w:pPr>
              <w:spacing w:after="0"/>
              <w:jc w:val="center"/>
              <w:rPr>
                <w:rFonts w:ascii="Arial Narrow" w:hAnsi="Arial Narrow"/>
                <w:b/>
                <w:sz w:val="24"/>
                <w:szCs w:val="24"/>
              </w:rPr>
            </w:pPr>
            <w:r>
              <w:rPr>
                <w:rFonts w:ascii="Arial Narrow" w:hAnsi="Arial Narrow"/>
                <w:b/>
                <w:sz w:val="24"/>
                <w:szCs w:val="24"/>
              </w:rPr>
              <w:t>IVAN CEPEDA</w:t>
            </w:r>
          </w:p>
          <w:p w:rsidR="00CF6577" w:rsidRDefault="00CF6577" w:rsidP="006946E9">
            <w:pPr>
              <w:jc w:val="center"/>
              <w:rPr>
                <w:rFonts w:ascii="Arial Narrow" w:hAnsi="Arial Narrow"/>
                <w:sz w:val="24"/>
                <w:szCs w:val="24"/>
              </w:rPr>
            </w:pPr>
            <w:r>
              <w:rPr>
                <w:rFonts w:ascii="Arial Narrow" w:hAnsi="Arial Narrow"/>
                <w:sz w:val="24"/>
                <w:szCs w:val="24"/>
              </w:rPr>
              <w:t>Senador de la República</w:t>
            </w:r>
          </w:p>
        </w:tc>
      </w:tr>
      <w:tr w:rsidR="00CF6577" w:rsidTr="007A5000">
        <w:trPr>
          <w:trHeight w:val="1372"/>
        </w:trPr>
        <w:tc>
          <w:tcPr>
            <w:tcW w:w="4444" w:type="dxa"/>
          </w:tcPr>
          <w:p w:rsidR="006946E9" w:rsidRDefault="006946E9"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r>
              <w:rPr>
                <w:rFonts w:ascii="Arial Narrow" w:hAnsi="Arial Narrow"/>
                <w:b/>
                <w:sz w:val="24"/>
                <w:szCs w:val="24"/>
              </w:rPr>
              <w:t>___________________________________</w:t>
            </w:r>
          </w:p>
          <w:p w:rsidR="00CF6577" w:rsidRPr="00C5722F" w:rsidRDefault="00CF6577" w:rsidP="006946E9">
            <w:pPr>
              <w:spacing w:after="0"/>
              <w:jc w:val="center"/>
              <w:rPr>
                <w:rFonts w:ascii="Arial Narrow" w:hAnsi="Arial Narrow"/>
                <w:b/>
                <w:sz w:val="24"/>
                <w:szCs w:val="24"/>
              </w:rPr>
            </w:pPr>
            <w:r>
              <w:rPr>
                <w:rFonts w:ascii="Arial Narrow" w:hAnsi="Arial Narrow"/>
                <w:b/>
                <w:sz w:val="24"/>
                <w:szCs w:val="24"/>
              </w:rPr>
              <w:t>ALBERTO CASTILLA</w:t>
            </w:r>
          </w:p>
          <w:p w:rsidR="00CF6577" w:rsidRDefault="00CF6577" w:rsidP="006946E9">
            <w:pPr>
              <w:jc w:val="center"/>
              <w:rPr>
                <w:rFonts w:ascii="Arial Narrow" w:hAnsi="Arial Narrow"/>
                <w:sz w:val="24"/>
                <w:szCs w:val="24"/>
              </w:rPr>
            </w:pPr>
            <w:r>
              <w:rPr>
                <w:rFonts w:ascii="Arial Narrow" w:hAnsi="Arial Narrow"/>
                <w:sz w:val="24"/>
                <w:szCs w:val="24"/>
              </w:rPr>
              <w:t>Senador de la República</w:t>
            </w:r>
          </w:p>
        </w:tc>
        <w:tc>
          <w:tcPr>
            <w:tcW w:w="4444" w:type="dxa"/>
          </w:tcPr>
          <w:p w:rsidR="006946E9" w:rsidRDefault="006946E9"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r>
              <w:rPr>
                <w:rFonts w:ascii="Arial Narrow" w:hAnsi="Arial Narrow"/>
                <w:b/>
                <w:sz w:val="24"/>
                <w:szCs w:val="24"/>
              </w:rPr>
              <w:t>___________________________________</w:t>
            </w:r>
          </w:p>
          <w:p w:rsidR="006946E9" w:rsidRPr="00C5722F" w:rsidRDefault="006946E9" w:rsidP="006946E9">
            <w:pPr>
              <w:spacing w:after="0"/>
              <w:jc w:val="center"/>
              <w:rPr>
                <w:rFonts w:ascii="Arial Narrow" w:hAnsi="Arial Narrow"/>
                <w:b/>
                <w:sz w:val="24"/>
                <w:szCs w:val="24"/>
              </w:rPr>
            </w:pPr>
            <w:r>
              <w:rPr>
                <w:rFonts w:ascii="Arial Narrow" w:hAnsi="Arial Narrow"/>
                <w:b/>
                <w:sz w:val="24"/>
                <w:szCs w:val="24"/>
              </w:rPr>
              <w:t>FELICIANO VALENCIA</w:t>
            </w:r>
          </w:p>
          <w:p w:rsidR="00CF6577" w:rsidRDefault="006946E9" w:rsidP="006946E9">
            <w:pPr>
              <w:jc w:val="center"/>
              <w:rPr>
                <w:rFonts w:ascii="Arial Narrow" w:hAnsi="Arial Narrow"/>
                <w:sz w:val="24"/>
                <w:szCs w:val="24"/>
              </w:rPr>
            </w:pPr>
            <w:r>
              <w:rPr>
                <w:rFonts w:ascii="Arial Narrow" w:hAnsi="Arial Narrow"/>
                <w:sz w:val="24"/>
                <w:szCs w:val="24"/>
              </w:rPr>
              <w:t>Senador de la República</w:t>
            </w:r>
          </w:p>
        </w:tc>
      </w:tr>
      <w:tr w:rsidR="006946E9" w:rsidTr="007A5000">
        <w:trPr>
          <w:trHeight w:val="1210"/>
        </w:trPr>
        <w:tc>
          <w:tcPr>
            <w:tcW w:w="4444" w:type="dxa"/>
          </w:tcPr>
          <w:p w:rsidR="006946E9" w:rsidRDefault="006946E9"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r>
              <w:rPr>
                <w:rFonts w:ascii="Arial Narrow" w:hAnsi="Arial Narrow"/>
                <w:b/>
                <w:sz w:val="24"/>
                <w:szCs w:val="24"/>
              </w:rPr>
              <w:t>___________________________________</w:t>
            </w:r>
          </w:p>
          <w:p w:rsidR="006946E9" w:rsidRPr="00C5722F" w:rsidRDefault="006946E9" w:rsidP="006946E9">
            <w:pPr>
              <w:spacing w:after="0"/>
              <w:jc w:val="center"/>
              <w:rPr>
                <w:rFonts w:ascii="Arial Narrow" w:hAnsi="Arial Narrow"/>
                <w:b/>
                <w:sz w:val="24"/>
                <w:szCs w:val="24"/>
              </w:rPr>
            </w:pPr>
            <w:r>
              <w:rPr>
                <w:rFonts w:ascii="Arial Narrow" w:hAnsi="Arial Narrow"/>
                <w:b/>
                <w:sz w:val="24"/>
                <w:szCs w:val="24"/>
              </w:rPr>
              <w:t>ALEXANDER LÓPEZ</w:t>
            </w:r>
          </w:p>
          <w:p w:rsidR="006946E9" w:rsidRDefault="006946E9" w:rsidP="006946E9">
            <w:pPr>
              <w:spacing w:after="0"/>
              <w:jc w:val="center"/>
              <w:rPr>
                <w:rFonts w:ascii="Arial Narrow" w:hAnsi="Arial Narrow"/>
                <w:b/>
                <w:sz w:val="24"/>
                <w:szCs w:val="24"/>
              </w:rPr>
            </w:pPr>
            <w:r>
              <w:rPr>
                <w:rFonts w:ascii="Arial Narrow" w:hAnsi="Arial Narrow"/>
                <w:sz w:val="24"/>
                <w:szCs w:val="24"/>
              </w:rPr>
              <w:t>Senador de la República</w:t>
            </w:r>
          </w:p>
        </w:tc>
        <w:tc>
          <w:tcPr>
            <w:tcW w:w="4444" w:type="dxa"/>
          </w:tcPr>
          <w:p w:rsidR="006946E9" w:rsidRDefault="006946E9" w:rsidP="006946E9">
            <w:pPr>
              <w:spacing w:after="0"/>
              <w:jc w:val="center"/>
              <w:rPr>
                <w:rFonts w:ascii="Arial Narrow" w:hAnsi="Arial Narrow"/>
                <w:b/>
                <w:sz w:val="24"/>
                <w:szCs w:val="24"/>
              </w:rPr>
            </w:pPr>
          </w:p>
          <w:p w:rsidR="00E96E4C" w:rsidRDefault="00E96E4C" w:rsidP="00E96E4C">
            <w:pPr>
              <w:spacing w:after="0"/>
              <w:jc w:val="center"/>
              <w:rPr>
                <w:rFonts w:ascii="Arial Narrow" w:hAnsi="Arial Narrow"/>
                <w:b/>
                <w:sz w:val="24"/>
                <w:szCs w:val="24"/>
              </w:rPr>
            </w:pPr>
          </w:p>
          <w:p w:rsidR="00E96E4C" w:rsidRDefault="00E96E4C" w:rsidP="00E96E4C">
            <w:pPr>
              <w:spacing w:after="0"/>
              <w:jc w:val="center"/>
              <w:rPr>
                <w:rFonts w:ascii="Arial Narrow" w:hAnsi="Arial Narrow"/>
                <w:b/>
                <w:sz w:val="24"/>
                <w:szCs w:val="24"/>
              </w:rPr>
            </w:pPr>
            <w:r>
              <w:rPr>
                <w:rFonts w:ascii="Arial Narrow" w:hAnsi="Arial Narrow"/>
                <w:b/>
                <w:sz w:val="24"/>
                <w:szCs w:val="24"/>
              </w:rPr>
              <w:t>___________________________________</w:t>
            </w:r>
          </w:p>
          <w:p w:rsidR="00E96E4C" w:rsidRPr="00C5722F" w:rsidRDefault="00E96E4C" w:rsidP="00E96E4C">
            <w:pPr>
              <w:spacing w:after="0"/>
              <w:jc w:val="center"/>
              <w:rPr>
                <w:rFonts w:ascii="Arial Narrow" w:hAnsi="Arial Narrow"/>
                <w:b/>
                <w:sz w:val="24"/>
                <w:szCs w:val="24"/>
              </w:rPr>
            </w:pPr>
            <w:r>
              <w:rPr>
                <w:rFonts w:ascii="Arial Narrow" w:hAnsi="Arial Narrow"/>
                <w:b/>
                <w:sz w:val="24"/>
                <w:szCs w:val="24"/>
              </w:rPr>
              <w:t>ANTONIO SANGUINO</w:t>
            </w:r>
          </w:p>
          <w:p w:rsidR="006946E9" w:rsidRDefault="00E96E4C" w:rsidP="00E96E4C">
            <w:pPr>
              <w:spacing w:after="0"/>
              <w:jc w:val="center"/>
              <w:rPr>
                <w:rFonts w:ascii="Arial Narrow" w:hAnsi="Arial Narrow"/>
                <w:b/>
                <w:sz w:val="24"/>
                <w:szCs w:val="24"/>
              </w:rPr>
            </w:pPr>
            <w:r>
              <w:rPr>
                <w:rFonts w:ascii="Arial Narrow" w:hAnsi="Arial Narrow"/>
                <w:sz w:val="24"/>
                <w:szCs w:val="24"/>
              </w:rPr>
              <w:t>Senador de la República</w:t>
            </w:r>
          </w:p>
        </w:tc>
      </w:tr>
      <w:tr w:rsidR="00CF6577" w:rsidTr="007A5000">
        <w:trPr>
          <w:trHeight w:val="1372"/>
        </w:trPr>
        <w:tc>
          <w:tcPr>
            <w:tcW w:w="4444" w:type="dxa"/>
          </w:tcPr>
          <w:p w:rsidR="006946E9" w:rsidRDefault="006946E9"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p>
          <w:p w:rsidR="00E96E4C" w:rsidRDefault="00E96E4C" w:rsidP="00E96E4C">
            <w:pPr>
              <w:spacing w:after="0"/>
              <w:jc w:val="center"/>
              <w:rPr>
                <w:rFonts w:ascii="Arial Narrow" w:hAnsi="Arial Narrow"/>
                <w:b/>
                <w:sz w:val="24"/>
                <w:szCs w:val="24"/>
              </w:rPr>
            </w:pPr>
            <w:r>
              <w:rPr>
                <w:rFonts w:ascii="Arial Narrow" w:hAnsi="Arial Narrow"/>
                <w:b/>
                <w:sz w:val="24"/>
                <w:szCs w:val="24"/>
              </w:rPr>
              <w:t>___________________________________</w:t>
            </w:r>
          </w:p>
          <w:p w:rsidR="00E96E4C" w:rsidRPr="00C5722F" w:rsidRDefault="00E96E4C" w:rsidP="00E96E4C">
            <w:pPr>
              <w:spacing w:after="0"/>
              <w:jc w:val="center"/>
              <w:rPr>
                <w:rFonts w:ascii="Arial Narrow" w:hAnsi="Arial Narrow"/>
                <w:b/>
                <w:sz w:val="24"/>
                <w:szCs w:val="24"/>
              </w:rPr>
            </w:pPr>
            <w:r>
              <w:rPr>
                <w:rFonts w:ascii="Arial Narrow" w:hAnsi="Arial Narrow"/>
                <w:b/>
                <w:sz w:val="24"/>
                <w:szCs w:val="24"/>
              </w:rPr>
              <w:t>GUSTAVO PETRO</w:t>
            </w:r>
          </w:p>
          <w:p w:rsidR="00CF6577" w:rsidRDefault="00E96E4C" w:rsidP="00E96E4C">
            <w:pPr>
              <w:jc w:val="center"/>
              <w:rPr>
                <w:rFonts w:ascii="Arial Narrow" w:hAnsi="Arial Narrow"/>
                <w:sz w:val="24"/>
                <w:szCs w:val="24"/>
              </w:rPr>
            </w:pPr>
            <w:r>
              <w:rPr>
                <w:rFonts w:ascii="Arial Narrow" w:hAnsi="Arial Narrow"/>
                <w:sz w:val="24"/>
                <w:szCs w:val="24"/>
              </w:rPr>
              <w:t>Senador de la República</w:t>
            </w:r>
          </w:p>
        </w:tc>
        <w:tc>
          <w:tcPr>
            <w:tcW w:w="4444" w:type="dxa"/>
          </w:tcPr>
          <w:p w:rsidR="006946E9" w:rsidRDefault="006946E9"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p>
          <w:p w:rsidR="00E96E4C" w:rsidRDefault="00E96E4C" w:rsidP="00E96E4C">
            <w:pPr>
              <w:spacing w:after="0"/>
              <w:jc w:val="center"/>
              <w:rPr>
                <w:rFonts w:ascii="Arial Narrow" w:hAnsi="Arial Narrow"/>
                <w:b/>
                <w:sz w:val="24"/>
                <w:szCs w:val="24"/>
              </w:rPr>
            </w:pPr>
            <w:r>
              <w:rPr>
                <w:rFonts w:ascii="Arial Narrow" w:hAnsi="Arial Narrow"/>
                <w:b/>
                <w:sz w:val="24"/>
                <w:szCs w:val="24"/>
              </w:rPr>
              <w:t>___________________________________</w:t>
            </w:r>
          </w:p>
          <w:p w:rsidR="00E96E4C" w:rsidRPr="00C5722F" w:rsidRDefault="00E96E4C" w:rsidP="00E96E4C">
            <w:pPr>
              <w:spacing w:after="0"/>
              <w:jc w:val="center"/>
              <w:rPr>
                <w:rFonts w:ascii="Arial Narrow" w:hAnsi="Arial Narrow"/>
                <w:b/>
                <w:sz w:val="24"/>
                <w:szCs w:val="24"/>
              </w:rPr>
            </w:pPr>
            <w:r>
              <w:rPr>
                <w:rFonts w:ascii="Arial Narrow" w:hAnsi="Arial Narrow"/>
                <w:b/>
                <w:sz w:val="24"/>
                <w:szCs w:val="24"/>
              </w:rPr>
              <w:t>DAVID RACERO</w:t>
            </w:r>
          </w:p>
          <w:p w:rsidR="00CF6577" w:rsidRDefault="00E96E4C" w:rsidP="00E96E4C">
            <w:pPr>
              <w:jc w:val="center"/>
              <w:rPr>
                <w:rFonts w:ascii="Arial Narrow" w:hAnsi="Arial Narrow"/>
                <w:sz w:val="24"/>
                <w:szCs w:val="24"/>
              </w:rPr>
            </w:pPr>
            <w:r>
              <w:rPr>
                <w:rFonts w:ascii="Arial Narrow" w:hAnsi="Arial Narrow"/>
                <w:sz w:val="24"/>
                <w:szCs w:val="24"/>
              </w:rPr>
              <w:t xml:space="preserve">Representante a la Cámara </w:t>
            </w:r>
          </w:p>
        </w:tc>
      </w:tr>
      <w:tr w:rsidR="00CF6577" w:rsidTr="007A5000">
        <w:trPr>
          <w:trHeight w:val="1222"/>
        </w:trPr>
        <w:tc>
          <w:tcPr>
            <w:tcW w:w="4444" w:type="dxa"/>
          </w:tcPr>
          <w:p w:rsidR="006946E9" w:rsidRDefault="006946E9" w:rsidP="006946E9">
            <w:pPr>
              <w:spacing w:after="0"/>
              <w:jc w:val="center"/>
              <w:rPr>
                <w:rFonts w:ascii="Arial Narrow" w:hAnsi="Arial Narrow"/>
                <w:b/>
                <w:sz w:val="24"/>
                <w:szCs w:val="24"/>
              </w:rPr>
            </w:pPr>
          </w:p>
          <w:p w:rsidR="006946E9" w:rsidRDefault="006946E9" w:rsidP="006946E9">
            <w:pPr>
              <w:spacing w:after="0"/>
              <w:jc w:val="center"/>
              <w:rPr>
                <w:rFonts w:ascii="Arial Narrow" w:hAnsi="Arial Narrow"/>
                <w:b/>
                <w:sz w:val="24"/>
                <w:szCs w:val="24"/>
              </w:rPr>
            </w:pPr>
          </w:p>
          <w:p w:rsidR="00E96E4C" w:rsidRDefault="00E96E4C" w:rsidP="00E96E4C">
            <w:pPr>
              <w:spacing w:after="0"/>
              <w:jc w:val="center"/>
              <w:rPr>
                <w:rFonts w:ascii="Arial Narrow" w:hAnsi="Arial Narrow"/>
                <w:b/>
                <w:sz w:val="24"/>
                <w:szCs w:val="24"/>
              </w:rPr>
            </w:pPr>
            <w:r>
              <w:rPr>
                <w:rFonts w:ascii="Arial Narrow" w:hAnsi="Arial Narrow"/>
                <w:b/>
                <w:sz w:val="24"/>
                <w:szCs w:val="24"/>
              </w:rPr>
              <w:t>___________________________________</w:t>
            </w:r>
          </w:p>
          <w:p w:rsidR="00E96E4C" w:rsidRPr="00C5722F" w:rsidRDefault="00E96E4C" w:rsidP="00E96E4C">
            <w:pPr>
              <w:spacing w:after="0"/>
              <w:jc w:val="center"/>
              <w:rPr>
                <w:rFonts w:ascii="Arial Narrow" w:hAnsi="Arial Narrow"/>
                <w:b/>
                <w:sz w:val="24"/>
                <w:szCs w:val="24"/>
              </w:rPr>
            </w:pPr>
            <w:r>
              <w:rPr>
                <w:rFonts w:ascii="Arial Narrow" w:hAnsi="Arial Narrow"/>
                <w:b/>
                <w:sz w:val="24"/>
                <w:szCs w:val="24"/>
              </w:rPr>
              <w:t>GUSTAVO BOLIVAR</w:t>
            </w:r>
          </w:p>
          <w:p w:rsidR="00CF6577" w:rsidRDefault="00E96E4C" w:rsidP="00E96E4C">
            <w:pPr>
              <w:spacing w:after="0"/>
              <w:jc w:val="center"/>
              <w:rPr>
                <w:rFonts w:ascii="Arial Narrow" w:hAnsi="Arial Narrow"/>
                <w:sz w:val="24"/>
                <w:szCs w:val="24"/>
              </w:rPr>
            </w:pPr>
            <w:r>
              <w:rPr>
                <w:rFonts w:ascii="Arial Narrow" w:hAnsi="Arial Narrow"/>
                <w:sz w:val="24"/>
                <w:szCs w:val="24"/>
              </w:rPr>
              <w:t>Senador de la República</w:t>
            </w:r>
          </w:p>
        </w:tc>
        <w:tc>
          <w:tcPr>
            <w:tcW w:w="4444" w:type="dxa"/>
          </w:tcPr>
          <w:p w:rsidR="00174B54" w:rsidRDefault="00174B54" w:rsidP="00174B54">
            <w:pPr>
              <w:rPr>
                <w:rFonts w:ascii="Arial Narrow" w:hAnsi="Arial Narrow"/>
                <w:sz w:val="24"/>
                <w:szCs w:val="24"/>
              </w:rPr>
            </w:pPr>
          </w:p>
          <w:p w:rsidR="00E96E4C" w:rsidRDefault="00E96E4C" w:rsidP="00E96E4C">
            <w:pPr>
              <w:spacing w:after="0"/>
              <w:jc w:val="center"/>
              <w:rPr>
                <w:rFonts w:ascii="Arial Narrow" w:hAnsi="Arial Narrow"/>
                <w:b/>
                <w:sz w:val="24"/>
                <w:szCs w:val="24"/>
              </w:rPr>
            </w:pPr>
            <w:r>
              <w:rPr>
                <w:rFonts w:ascii="Arial Narrow" w:hAnsi="Arial Narrow"/>
                <w:b/>
                <w:sz w:val="24"/>
                <w:szCs w:val="24"/>
              </w:rPr>
              <w:t>___________________________________</w:t>
            </w:r>
          </w:p>
          <w:p w:rsidR="00E96E4C" w:rsidRPr="00C5722F" w:rsidRDefault="00E96E4C" w:rsidP="00E96E4C">
            <w:pPr>
              <w:spacing w:after="0"/>
              <w:jc w:val="center"/>
              <w:rPr>
                <w:rFonts w:ascii="Arial Narrow" w:hAnsi="Arial Narrow"/>
                <w:b/>
                <w:sz w:val="24"/>
                <w:szCs w:val="24"/>
              </w:rPr>
            </w:pPr>
            <w:r>
              <w:rPr>
                <w:rFonts w:ascii="Arial Narrow" w:hAnsi="Arial Narrow"/>
                <w:b/>
                <w:sz w:val="24"/>
                <w:szCs w:val="24"/>
              </w:rPr>
              <w:t>ABEL DAVID JARAMILLO</w:t>
            </w:r>
          </w:p>
          <w:p w:rsidR="00174B54" w:rsidRDefault="00E96E4C" w:rsidP="00E96E4C">
            <w:pPr>
              <w:spacing w:after="0"/>
              <w:jc w:val="center"/>
              <w:rPr>
                <w:rFonts w:ascii="Arial Narrow" w:hAnsi="Arial Narrow"/>
                <w:sz w:val="24"/>
                <w:szCs w:val="24"/>
              </w:rPr>
            </w:pPr>
            <w:r>
              <w:rPr>
                <w:rFonts w:ascii="Arial Narrow" w:hAnsi="Arial Narrow"/>
                <w:sz w:val="24"/>
                <w:szCs w:val="24"/>
              </w:rPr>
              <w:t>Representante a la Cámara</w:t>
            </w:r>
          </w:p>
        </w:tc>
      </w:tr>
      <w:tr w:rsidR="00CF6577" w:rsidTr="007A5000">
        <w:trPr>
          <w:trHeight w:val="1037"/>
        </w:trPr>
        <w:tc>
          <w:tcPr>
            <w:tcW w:w="4444" w:type="dxa"/>
          </w:tcPr>
          <w:p w:rsidR="00CF6577" w:rsidRDefault="00CF6577" w:rsidP="006946E9">
            <w:pPr>
              <w:jc w:val="center"/>
              <w:rPr>
                <w:rFonts w:ascii="Arial Narrow" w:hAnsi="Arial Narrow"/>
                <w:sz w:val="24"/>
                <w:szCs w:val="24"/>
              </w:rPr>
            </w:pPr>
          </w:p>
          <w:p w:rsidR="00174B54" w:rsidRDefault="00174B54" w:rsidP="00174B54">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174B54">
            <w:pPr>
              <w:rPr>
                <w:rFonts w:ascii="Arial Narrow" w:hAnsi="Arial Narrow"/>
                <w:sz w:val="24"/>
                <w:szCs w:val="24"/>
              </w:rPr>
            </w:pPr>
          </w:p>
        </w:tc>
        <w:tc>
          <w:tcPr>
            <w:tcW w:w="4444" w:type="dxa"/>
          </w:tcPr>
          <w:p w:rsidR="00CF6577" w:rsidRDefault="00CF6577" w:rsidP="006946E9">
            <w:pPr>
              <w:jc w:val="center"/>
              <w:rPr>
                <w:rFonts w:ascii="Arial Narrow" w:hAnsi="Arial Narrow"/>
                <w:sz w:val="24"/>
                <w:szCs w:val="24"/>
              </w:rPr>
            </w:pPr>
          </w:p>
          <w:p w:rsidR="00174B54" w:rsidRDefault="00174B54" w:rsidP="00174B54">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174B54">
            <w:pPr>
              <w:jc w:val="center"/>
              <w:rPr>
                <w:rFonts w:ascii="Arial Narrow" w:hAnsi="Arial Narrow"/>
                <w:sz w:val="24"/>
                <w:szCs w:val="24"/>
              </w:rPr>
            </w:pPr>
          </w:p>
        </w:tc>
      </w:tr>
      <w:tr w:rsidR="00CF6577" w:rsidTr="007A5000">
        <w:trPr>
          <w:trHeight w:val="1037"/>
        </w:trPr>
        <w:tc>
          <w:tcPr>
            <w:tcW w:w="4444" w:type="dxa"/>
          </w:tcPr>
          <w:p w:rsidR="00174B54" w:rsidRDefault="00174B54" w:rsidP="00174B54">
            <w:pPr>
              <w:rPr>
                <w:rFonts w:ascii="Arial Narrow" w:hAnsi="Arial Narrow"/>
                <w:sz w:val="24"/>
                <w:szCs w:val="24"/>
              </w:rPr>
            </w:pPr>
          </w:p>
          <w:p w:rsidR="00174B54" w:rsidRDefault="00174B54" w:rsidP="00174B54">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174B54">
            <w:pPr>
              <w:jc w:val="center"/>
              <w:rPr>
                <w:rFonts w:ascii="Arial Narrow" w:hAnsi="Arial Narrow"/>
                <w:sz w:val="24"/>
                <w:szCs w:val="24"/>
              </w:rPr>
            </w:pPr>
          </w:p>
        </w:tc>
        <w:tc>
          <w:tcPr>
            <w:tcW w:w="4444" w:type="dxa"/>
          </w:tcPr>
          <w:p w:rsidR="00CF6577" w:rsidRDefault="00CF6577" w:rsidP="006946E9">
            <w:pPr>
              <w:jc w:val="center"/>
              <w:rPr>
                <w:rFonts w:ascii="Arial Narrow" w:hAnsi="Arial Narrow"/>
                <w:sz w:val="24"/>
                <w:szCs w:val="24"/>
              </w:rPr>
            </w:pPr>
          </w:p>
          <w:p w:rsidR="00174B54" w:rsidRDefault="00174B54" w:rsidP="00174B54">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174B54">
            <w:pPr>
              <w:jc w:val="center"/>
              <w:rPr>
                <w:rFonts w:ascii="Arial Narrow" w:hAnsi="Arial Narrow"/>
                <w:sz w:val="24"/>
                <w:szCs w:val="24"/>
              </w:rPr>
            </w:pPr>
          </w:p>
        </w:tc>
      </w:tr>
      <w:tr w:rsidR="00174B54" w:rsidTr="007A5000">
        <w:trPr>
          <w:trHeight w:val="1037"/>
        </w:trPr>
        <w:tc>
          <w:tcPr>
            <w:tcW w:w="4444" w:type="dxa"/>
          </w:tcPr>
          <w:p w:rsidR="00174B54" w:rsidRDefault="00174B54" w:rsidP="00174B54">
            <w:pPr>
              <w:rPr>
                <w:rFonts w:ascii="Arial Narrow" w:hAnsi="Arial Narrow"/>
                <w:sz w:val="24"/>
                <w:szCs w:val="24"/>
              </w:rPr>
            </w:pPr>
          </w:p>
          <w:p w:rsidR="00174B54" w:rsidRDefault="00174B54" w:rsidP="00174B54">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174B54">
            <w:pPr>
              <w:rPr>
                <w:rFonts w:ascii="Arial Narrow" w:hAnsi="Arial Narrow"/>
                <w:sz w:val="24"/>
                <w:szCs w:val="24"/>
              </w:rPr>
            </w:pPr>
          </w:p>
        </w:tc>
        <w:tc>
          <w:tcPr>
            <w:tcW w:w="4444" w:type="dxa"/>
          </w:tcPr>
          <w:p w:rsidR="00174B54" w:rsidRDefault="00174B54" w:rsidP="00174B54">
            <w:pPr>
              <w:rPr>
                <w:rFonts w:ascii="Arial Narrow" w:hAnsi="Arial Narrow"/>
                <w:sz w:val="24"/>
                <w:szCs w:val="24"/>
              </w:rPr>
            </w:pPr>
          </w:p>
          <w:p w:rsidR="00174B54" w:rsidRDefault="00174B54" w:rsidP="00174B54">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174B54">
            <w:pPr>
              <w:jc w:val="center"/>
              <w:rPr>
                <w:rFonts w:ascii="Arial Narrow" w:hAnsi="Arial Narrow"/>
                <w:sz w:val="24"/>
                <w:szCs w:val="24"/>
              </w:rPr>
            </w:pPr>
          </w:p>
        </w:tc>
      </w:tr>
      <w:tr w:rsidR="00174B54" w:rsidTr="007A5000">
        <w:trPr>
          <w:trHeight w:val="1280"/>
        </w:trPr>
        <w:tc>
          <w:tcPr>
            <w:tcW w:w="4444" w:type="dxa"/>
          </w:tcPr>
          <w:p w:rsidR="00174B54" w:rsidRDefault="00174B54" w:rsidP="00174B54">
            <w:pPr>
              <w:rPr>
                <w:rFonts w:ascii="Arial Narrow" w:hAnsi="Arial Narrow"/>
                <w:sz w:val="24"/>
                <w:szCs w:val="24"/>
              </w:rPr>
            </w:pPr>
          </w:p>
          <w:p w:rsidR="00174B54" w:rsidRDefault="00174B54" w:rsidP="00174B54">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174B54">
            <w:pPr>
              <w:rPr>
                <w:rFonts w:ascii="Arial Narrow" w:hAnsi="Arial Narrow"/>
                <w:sz w:val="24"/>
                <w:szCs w:val="24"/>
              </w:rPr>
            </w:pPr>
          </w:p>
        </w:tc>
        <w:tc>
          <w:tcPr>
            <w:tcW w:w="4444" w:type="dxa"/>
          </w:tcPr>
          <w:p w:rsidR="00174B54" w:rsidRDefault="00174B54" w:rsidP="00174B54">
            <w:pPr>
              <w:rPr>
                <w:rFonts w:ascii="Arial Narrow" w:hAnsi="Arial Narrow"/>
                <w:sz w:val="24"/>
                <w:szCs w:val="24"/>
              </w:rPr>
            </w:pPr>
          </w:p>
          <w:p w:rsidR="00174B54" w:rsidRDefault="00174B54" w:rsidP="00174B54">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174B54">
            <w:pPr>
              <w:spacing w:after="0"/>
              <w:jc w:val="center"/>
              <w:rPr>
                <w:rFonts w:ascii="Arial Narrow" w:hAnsi="Arial Narrow"/>
                <w:b/>
                <w:sz w:val="24"/>
                <w:szCs w:val="24"/>
              </w:rPr>
            </w:pPr>
          </w:p>
          <w:p w:rsidR="00174B54" w:rsidRDefault="00174B54" w:rsidP="00174B54">
            <w:pPr>
              <w:rPr>
                <w:rFonts w:ascii="Arial Narrow" w:hAnsi="Arial Narrow"/>
                <w:sz w:val="24"/>
                <w:szCs w:val="24"/>
              </w:rPr>
            </w:pPr>
          </w:p>
        </w:tc>
      </w:tr>
      <w:tr w:rsidR="00174B54" w:rsidTr="007A5000">
        <w:trPr>
          <w:trHeight w:val="1037"/>
        </w:trPr>
        <w:tc>
          <w:tcPr>
            <w:tcW w:w="4444" w:type="dxa"/>
          </w:tcPr>
          <w:p w:rsidR="00174B54" w:rsidRDefault="00174B54" w:rsidP="007A5000">
            <w:pPr>
              <w:rPr>
                <w:rFonts w:ascii="Arial Narrow" w:hAnsi="Arial Narrow"/>
                <w:sz w:val="24"/>
                <w:szCs w:val="24"/>
              </w:rPr>
            </w:pPr>
          </w:p>
          <w:p w:rsidR="00174B54" w:rsidRDefault="00174B54"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7A5000">
            <w:pPr>
              <w:rPr>
                <w:rFonts w:ascii="Arial Narrow" w:hAnsi="Arial Narrow"/>
                <w:sz w:val="24"/>
                <w:szCs w:val="24"/>
              </w:rPr>
            </w:pPr>
          </w:p>
        </w:tc>
        <w:tc>
          <w:tcPr>
            <w:tcW w:w="4444" w:type="dxa"/>
          </w:tcPr>
          <w:p w:rsidR="00174B54" w:rsidRDefault="00174B54" w:rsidP="007A5000">
            <w:pPr>
              <w:rPr>
                <w:rFonts w:ascii="Arial Narrow" w:hAnsi="Arial Narrow"/>
                <w:sz w:val="24"/>
                <w:szCs w:val="24"/>
              </w:rPr>
            </w:pPr>
          </w:p>
          <w:p w:rsidR="00174B54" w:rsidRDefault="00174B54"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7A5000">
            <w:pPr>
              <w:rPr>
                <w:rFonts w:ascii="Arial Narrow" w:hAnsi="Arial Narrow"/>
                <w:sz w:val="24"/>
                <w:szCs w:val="24"/>
              </w:rPr>
            </w:pPr>
          </w:p>
        </w:tc>
      </w:tr>
      <w:tr w:rsidR="00174B54" w:rsidTr="007A5000">
        <w:trPr>
          <w:trHeight w:val="1037"/>
        </w:trPr>
        <w:tc>
          <w:tcPr>
            <w:tcW w:w="4444" w:type="dxa"/>
          </w:tcPr>
          <w:p w:rsidR="00174B54" w:rsidRDefault="00174B54" w:rsidP="007A5000">
            <w:pPr>
              <w:rPr>
                <w:rFonts w:ascii="Arial Narrow" w:hAnsi="Arial Narrow"/>
                <w:sz w:val="24"/>
                <w:szCs w:val="24"/>
              </w:rPr>
            </w:pPr>
          </w:p>
          <w:p w:rsidR="00174B54" w:rsidRDefault="00174B54"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7A5000">
            <w:pPr>
              <w:rPr>
                <w:rFonts w:ascii="Arial Narrow" w:hAnsi="Arial Narrow"/>
                <w:sz w:val="24"/>
                <w:szCs w:val="24"/>
              </w:rPr>
            </w:pPr>
          </w:p>
        </w:tc>
        <w:tc>
          <w:tcPr>
            <w:tcW w:w="4444" w:type="dxa"/>
          </w:tcPr>
          <w:p w:rsidR="00174B54" w:rsidRDefault="00174B54" w:rsidP="007A5000">
            <w:pPr>
              <w:rPr>
                <w:rFonts w:ascii="Arial Narrow" w:hAnsi="Arial Narrow"/>
                <w:sz w:val="24"/>
                <w:szCs w:val="24"/>
              </w:rPr>
            </w:pPr>
          </w:p>
          <w:p w:rsidR="00174B54" w:rsidRDefault="00174B54"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7A5000">
            <w:pPr>
              <w:rPr>
                <w:rFonts w:ascii="Arial Narrow" w:hAnsi="Arial Narrow"/>
                <w:sz w:val="24"/>
                <w:szCs w:val="24"/>
              </w:rPr>
            </w:pPr>
          </w:p>
        </w:tc>
      </w:tr>
      <w:tr w:rsidR="00174B54" w:rsidTr="007A5000">
        <w:trPr>
          <w:trHeight w:val="1037"/>
        </w:trPr>
        <w:tc>
          <w:tcPr>
            <w:tcW w:w="4444" w:type="dxa"/>
          </w:tcPr>
          <w:p w:rsidR="00174B54" w:rsidRDefault="00174B54" w:rsidP="007A5000">
            <w:pPr>
              <w:rPr>
                <w:rFonts w:ascii="Arial Narrow" w:hAnsi="Arial Narrow"/>
                <w:sz w:val="24"/>
                <w:szCs w:val="24"/>
              </w:rPr>
            </w:pPr>
          </w:p>
          <w:p w:rsidR="00174B54" w:rsidRPr="00174B54" w:rsidRDefault="00174B54" w:rsidP="00174B54">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44" w:type="dxa"/>
          </w:tcPr>
          <w:p w:rsidR="00174B54" w:rsidRDefault="00174B54" w:rsidP="007A5000">
            <w:pPr>
              <w:rPr>
                <w:rFonts w:ascii="Arial Narrow" w:hAnsi="Arial Narrow"/>
                <w:sz w:val="24"/>
                <w:szCs w:val="24"/>
              </w:rPr>
            </w:pPr>
          </w:p>
          <w:p w:rsidR="00174B54" w:rsidRDefault="00174B54"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174B54" w:rsidRDefault="00174B54" w:rsidP="007A5000">
            <w:pPr>
              <w:rPr>
                <w:rFonts w:ascii="Arial Narrow" w:hAnsi="Arial Narrow"/>
                <w:sz w:val="24"/>
                <w:szCs w:val="24"/>
              </w:rPr>
            </w:pPr>
          </w:p>
        </w:tc>
      </w:tr>
      <w:tr w:rsidR="002238A0" w:rsidTr="007A5000">
        <w:trPr>
          <w:trHeight w:val="1037"/>
        </w:trPr>
        <w:tc>
          <w:tcPr>
            <w:tcW w:w="4444" w:type="dxa"/>
          </w:tcPr>
          <w:p w:rsidR="002238A0" w:rsidRDefault="002238A0" w:rsidP="002238A0">
            <w:pPr>
              <w:rPr>
                <w:rFonts w:ascii="Arial Narrow" w:hAnsi="Arial Narrow"/>
                <w:sz w:val="24"/>
                <w:szCs w:val="24"/>
              </w:rPr>
            </w:pPr>
          </w:p>
          <w:p w:rsidR="002238A0" w:rsidRPr="00174B54" w:rsidRDefault="002238A0" w:rsidP="002238A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44" w:type="dxa"/>
          </w:tcPr>
          <w:p w:rsidR="002238A0" w:rsidRDefault="002238A0" w:rsidP="002238A0">
            <w:pPr>
              <w:rPr>
                <w:rFonts w:ascii="Arial Narrow" w:hAnsi="Arial Narrow"/>
                <w:sz w:val="24"/>
                <w:szCs w:val="24"/>
              </w:rPr>
            </w:pPr>
          </w:p>
          <w:p w:rsidR="002238A0" w:rsidRDefault="002238A0" w:rsidP="002238A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2238A0">
            <w:pPr>
              <w:rPr>
                <w:rFonts w:ascii="Arial Narrow" w:hAnsi="Arial Narrow"/>
                <w:sz w:val="24"/>
                <w:szCs w:val="24"/>
              </w:rPr>
            </w:pPr>
          </w:p>
        </w:tc>
      </w:tr>
      <w:tr w:rsidR="002238A0" w:rsidTr="007A5000">
        <w:trPr>
          <w:trHeight w:val="1037"/>
        </w:trPr>
        <w:tc>
          <w:tcPr>
            <w:tcW w:w="444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4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rPr>
          <w:trHeight w:val="1037"/>
        </w:trPr>
        <w:tc>
          <w:tcPr>
            <w:tcW w:w="444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4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rPr>
          <w:trHeight w:val="1037"/>
        </w:trPr>
        <w:tc>
          <w:tcPr>
            <w:tcW w:w="444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4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r w:rsidR="002238A0" w:rsidTr="007A5000">
        <w:trPr>
          <w:trHeight w:val="1037"/>
        </w:trPr>
        <w:tc>
          <w:tcPr>
            <w:tcW w:w="4444" w:type="dxa"/>
          </w:tcPr>
          <w:p w:rsidR="002238A0" w:rsidRDefault="002238A0" w:rsidP="007A5000">
            <w:pPr>
              <w:rPr>
                <w:rFonts w:ascii="Arial Narrow" w:hAnsi="Arial Narrow"/>
                <w:sz w:val="24"/>
                <w:szCs w:val="24"/>
              </w:rPr>
            </w:pPr>
          </w:p>
          <w:p w:rsidR="002238A0" w:rsidRPr="00174B54"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tc>
        <w:tc>
          <w:tcPr>
            <w:tcW w:w="4444" w:type="dxa"/>
          </w:tcPr>
          <w:p w:rsidR="002238A0" w:rsidRDefault="002238A0" w:rsidP="007A5000">
            <w:pPr>
              <w:rPr>
                <w:rFonts w:ascii="Arial Narrow" w:hAnsi="Arial Narrow"/>
                <w:sz w:val="24"/>
                <w:szCs w:val="24"/>
              </w:rPr>
            </w:pPr>
          </w:p>
          <w:p w:rsidR="002238A0" w:rsidRDefault="002238A0" w:rsidP="007A5000">
            <w:pPr>
              <w:spacing w:after="0"/>
              <w:jc w:val="center"/>
              <w:rPr>
                <w:rFonts w:ascii="Arial Narrow" w:hAnsi="Arial Narrow"/>
                <w:b/>
                <w:sz w:val="24"/>
                <w:szCs w:val="24"/>
              </w:rPr>
            </w:pPr>
            <w:r>
              <w:rPr>
                <w:rFonts w:ascii="Arial Narrow" w:hAnsi="Arial Narrow"/>
                <w:b/>
                <w:sz w:val="24"/>
                <w:szCs w:val="24"/>
              </w:rPr>
              <w:t>___________________________________</w:t>
            </w:r>
          </w:p>
          <w:p w:rsidR="002238A0" w:rsidRDefault="002238A0" w:rsidP="007A5000">
            <w:pPr>
              <w:rPr>
                <w:rFonts w:ascii="Arial Narrow" w:hAnsi="Arial Narrow"/>
                <w:sz w:val="24"/>
                <w:szCs w:val="24"/>
              </w:rPr>
            </w:pPr>
          </w:p>
        </w:tc>
      </w:tr>
    </w:tbl>
    <w:p w:rsidR="00CF6577" w:rsidRDefault="00CF6577" w:rsidP="007B31C6">
      <w:pPr>
        <w:jc w:val="both"/>
        <w:rPr>
          <w:rFonts w:ascii="Arial Narrow" w:hAnsi="Arial Narrow"/>
          <w:sz w:val="24"/>
          <w:szCs w:val="24"/>
        </w:rPr>
      </w:pPr>
    </w:p>
    <w:sectPr w:rsidR="00CF6577" w:rsidSect="002238A0">
      <w:headerReference w:type="default" r:id="rId12"/>
      <w:footerReference w:type="default" r:id="rId13"/>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E56" w:rsidRDefault="005E3E56" w:rsidP="007B31C6">
      <w:pPr>
        <w:spacing w:after="0" w:line="240" w:lineRule="auto"/>
      </w:pPr>
      <w:r>
        <w:separator/>
      </w:r>
    </w:p>
  </w:endnote>
  <w:endnote w:type="continuationSeparator" w:id="0">
    <w:p w:rsidR="005E3E56" w:rsidRDefault="005E3E56" w:rsidP="007B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00" w:rsidRDefault="007A5000" w:rsidP="007A5000">
    <w:pPr>
      <w:pStyle w:val="Piedepgina"/>
      <w:jc w:val="center"/>
    </w:pPr>
    <w:r>
      <w:rPr>
        <w:rFonts w:ascii="Constantia" w:hAnsi="Constantia"/>
        <w:noProof/>
        <w:sz w:val="16"/>
        <w:szCs w:val="16"/>
        <w:lang w:eastAsia="es-CO"/>
      </w:rPr>
      <w:drawing>
        <wp:inline distT="0" distB="0" distL="0" distR="0" wp14:anchorId="70E0EC90" wp14:editId="7FE052C2">
          <wp:extent cx="3124200" cy="266700"/>
          <wp:effectExtent l="0" t="0" r="0" b="1270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E56" w:rsidRDefault="005E3E56" w:rsidP="007B31C6">
      <w:pPr>
        <w:spacing w:after="0" w:line="240" w:lineRule="auto"/>
      </w:pPr>
      <w:r>
        <w:separator/>
      </w:r>
    </w:p>
  </w:footnote>
  <w:footnote w:type="continuationSeparator" w:id="0">
    <w:p w:rsidR="005E3E56" w:rsidRDefault="005E3E56" w:rsidP="007B31C6">
      <w:pPr>
        <w:spacing w:after="0" w:line="240" w:lineRule="auto"/>
      </w:pPr>
      <w:r>
        <w:continuationSeparator/>
      </w:r>
    </w:p>
  </w:footnote>
  <w:footnote w:id="1">
    <w:p w:rsidR="007A5000" w:rsidRPr="00FB5CC2" w:rsidRDefault="007A5000" w:rsidP="007B31C6">
      <w:pPr>
        <w:pStyle w:val="Textonotapie"/>
        <w:rPr>
          <w:lang w:val="es-MX"/>
        </w:rPr>
      </w:pPr>
      <w:r>
        <w:rPr>
          <w:rStyle w:val="Refdenotaalpie"/>
        </w:rPr>
        <w:footnoteRef/>
      </w:r>
      <w:r>
        <w:t xml:space="preserve"> </w:t>
      </w:r>
      <w:r>
        <w:rPr>
          <w:lang w:val="es-MX"/>
        </w:rPr>
        <w:t xml:space="preserve">OIT, 2017, Tendencias mundiales en el empleo juvenil, disponible en </w:t>
      </w:r>
      <w:hyperlink r:id="rId1" w:history="1">
        <w:r>
          <w:rPr>
            <w:rStyle w:val="Hipervnculo"/>
          </w:rPr>
          <w:t>https://www.ilo.org/wcmsp5/groups/public/---</w:t>
        </w:r>
        <w:proofErr w:type="spellStart"/>
        <w:r>
          <w:rPr>
            <w:rStyle w:val="Hipervnculo"/>
          </w:rPr>
          <w:t>dgreports</w:t>
        </w:r>
        <w:proofErr w:type="spellEnd"/>
        <w:r>
          <w:rPr>
            <w:rStyle w:val="Hipervnculo"/>
          </w:rPr>
          <w:t>/---</w:t>
        </w:r>
        <w:proofErr w:type="spellStart"/>
        <w:r>
          <w:rPr>
            <w:rStyle w:val="Hipervnculo"/>
          </w:rPr>
          <w:t>dcomm</w:t>
        </w:r>
        <w:proofErr w:type="spellEnd"/>
        <w:r>
          <w:rPr>
            <w:rStyle w:val="Hipervnculo"/>
          </w:rPr>
          <w:t>/---</w:t>
        </w:r>
        <w:proofErr w:type="spellStart"/>
        <w:r>
          <w:rPr>
            <w:rStyle w:val="Hipervnculo"/>
          </w:rPr>
          <w:t>publ</w:t>
        </w:r>
        <w:proofErr w:type="spellEnd"/>
        <w:r>
          <w:rPr>
            <w:rStyle w:val="Hipervnculo"/>
          </w:rPr>
          <w:t>/</w:t>
        </w:r>
        <w:proofErr w:type="spellStart"/>
        <w:r>
          <w:rPr>
            <w:rStyle w:val="Hipervnculo"/>
          </w:rPr>
          <w:t>documents</w:t>
        </w:r>
        <w:proofErr w:type="spellEnd"/>
        <w:r>
          <w:rPr>
            <w:rStyle w:val="Hipervnculo"/>
          </w:rPr>
          <w:t>/</w:t>
        </w:r>
        <w:proofErr w:type="spellStart"/>
        <w:r>
          <w:rPr>
            <w:rStyle w:val="Hipervnculo"/>
          </w:rPr>
          <w:t>publication</w:t>
        </w:r>
        <w:proofErr w:type="spellEnd"/>
        <w:r>
          <w:rPr>
            <w:rStyle w:val="Hipervnculo"/>
          </w:rPr>
          <w:t>/wcms_598679.pdf</w:t>
        </w:r>
      </w:hyperlink>
      <w:r>
        <w:t xml:space="preserve"> </w:t>
      </w:r>
    </w:p>
  </w:footnote>
  <w:footnote w:id="2">
    <w:p w:rsidR="007A5000" w:rsidRPr="006361DB" w:rsidRDefault="007A5000" w:rsidP="007B31C6">
      <w:pPr>
        <w:pStyle w:val="Textonotapie"/>
        <w:rPr>
          <w:sz w:val="16"/>
          <w:szCs w:val="16"/>
          <w:lang w:val="es-MX"/>
        </w:rPr>
      </w:pPr>
      <w:r w:rsidRPr="006361DB">
        <w:rPr>
          <w:rStyle w:val="Refdenotaalpie"/>
          <w:sz w:val="16"/>
          <w:szCs w:val="16"/>
        </w:rPr>
        <w:footnoteRef/>
      </w:r>
      <w:r w:rsidRPr="006361DB">
        <w:rPr>
          <w:sz w:val="16"/>
          <w:szCs w:val="16"/>
        </w:rPr>
        <w:t xml:space="preserve"> </w:t>
      </w:r>
      <w:r w:rsidRPr="006361DB">
        <w:rPr>
          <w:rFonts w:ascii="Arial" w:hAnsi="Arial" w:cs="Arial"/>
          <w:color w:val="333333"/>
          <w:sz w:val="16"/>
          <w:szCs w:val="16"/>
          <w:shd w:val="clear" w:color="auto" w:fill="FFFFFF"/>
        </w:rPr>
        <w:t>Sentencia T-500 de 2002. Reiterada en la sentencia C-1036 de 2003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00" w:rsidRDefault="007A5000">
    <w:pPr>
      <w:pStyle w:val="Encabezado"/>
    </w:pPr>
    <w:r>
      <w:rPr>
        <w:noProof/>
        <w:lang w:eastAsia="es-CO"/>
      </w:rPr>
      <w:drawing>
        <wp:anchor distT="0" distB="0" distL="114300" distR="114300" simplePos="0" relativeHeight="251659264" behindDoc="0" locked="0" layoutInCell="1" allowOverlap="1" wp14:anchorId="1FFBA11B" wp14:editId="13604FC5">
          <wp:simplePos x="0" y="0"/>
          <wp:positionH relativeFrom="column">
            <wp:posOffset>2101215</wp:posOffset>
          </wp:positionH>
          <wp:positionV relativeFrom="paragraph">
            <wp:posOffset>-163830</wp:posOffset>
          </wp:positionV>
          <wp:extent cx="1595755" cy="685800"/>
          <wp:effectExtent l="0" t="0" r="4445" b="0"/>
          <wp:wrapThrough wrapText="bothSides">
            <wp:wrapPolygon edited="0">
              <wp:start x="0" y="0"/>
              <wp:lineTo x="0" y="21000"/>
              <wp:lineTo x="21402" y="21000"/>
              <wp:lineTo x="21402"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4D1"/>
    <w:multiLevelType w:val="multilevel"/>
    <w:tmpl w:val="879835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231E6E1C"/>
    <w:multiLevelType w:val="hybridMultilevel"/>
    <w:tmpl w:val="0C045F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C6"/>
    <w:rsid w:val="00095D13"/>
    <w:rsid w:val="00137B2D"/>
    <w:rsid w:val="00174B54"/>
    <w:rsid w:val="00192D97"/>
    <w:rsid w:val="002238A0"/>
    <w:rsid w:val="002247C6"/>
    <w:rsid w:val="002375E1"/>
    <w:rsid w:val="003A0206"/>
    <w:rsid w:val="003C2B59"/>
    <w:rsid w:val="004B47BB"/>
    <w:rsid w:val="005D6D6D"/>
    <w:rsid w:val="005E383F"/>
    <w:rsid w:val="005E3E56"/>
    <w:rsid w:val="006125F9"/>
    <w:rsid w:val="006548F7"/>
    <w:rsid w:val="006946E9"/>
    <w:rsid w:val="006F3B5C"/>
    <w:rsid w:val="00730D9F"/>
    <w:rsid w:val="0079569F"/>
    <w:rsid w:val="007A5000"/>
    <w:rsid w:val="007B0C83"/>
    <w:rsid w:val="007B31C6"/>
    <w:rsid w:val="009150D8"/>
    <w:rsid w:val="00926A92"/>
    <w:rsid w:val="00A822ED"/>
    <w:rsid w:val="00CF6577"/>
    <w:rsid w:val="00D12349"/>
    <w:rsid w:val="00D833CD"/>
    <w:rsid w:val="00DD26F9"/>
    <w:rsid w:val="00E96E4C"/>
    <w:rsid w:val="00E97E1D"/>
    <w:rsid w:val="00F7553C"/>
    <w:rsid w:val="00F8047F"/>
    <w:rsid w:val="00FC5609"/>
    <w:rsid w:val="00FE26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530CD"/>
  <w15:chartTrackingRefBased/>
  <w15:docId w15:val="{CC9010D4-A2AA-455C-87A6-64853AFF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1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31C6"/>
    <w:pPr>
      <w:ind w:left="720"/>
      <w:contextualSpacing/>
    </w:pPr>
  </w:style>
  <w:style w:type="paragraph" w:styleId="NormalWeb">
    <w:name w:val="Normal (Web)"/>
    <w:basedOn w:val="Normal"/>
    <w:uiPriority w:val="99"/>
    <w:semiHidden/>
    <w:unhideWhenUsed/>
    <w:rsid w:val="007B31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7B3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1C6"/>
  </w:style>
  <w:style w:type="paragraph" w:styleId="Piedepgina">
    <w:name w:val="footer"/>
    <w:basedOn w:val="Normal"/>
    <w:link w:val="PiedepginaCar"/>
    <w:uiPriority w:val="99"/>
    <w:unhideWhenUsed/>
    <w:rsid w:val="007B3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1C6"/>
  </w:style>
  <w:style w:type="paragraph" w:styleId="Textonotapie">
    <w:name w:val="footnote text"/>
    <w:basedOn w:val="Normal"/>
    <w:link w:val="TextonotapieCar"/>
    <w:uiPriority w:val="99"/>
    <w:semiHidden/>
    <w:unhideWhenUsed/>
    <w:rsid w:val="007B31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31C6"/>
    <w:rPr>
      <w:sz w:val="20"/>
      <w:szCs w:val="20"/>
    </w:rPr>
  </w:style>
  <w:style w:type="character" w:styleId="Refdenotaalpie">
    <w:name w:val="footnote reference"/>
    <w:basedOn w:val="Fuentedeprrafopredeter"/>
    <w:uiPriority w:val="99"/>
    <w:semiHidden/>
    <w:unhideWhenUsed/>
    <w:rsid w:val="007B31C6"/>
    <w:rPr>
      <w:vertAlign w:val="superscript"/>
    </w:rPr>
  </w:style>
  <w:style w:type="character" w:styleId="Hipervnculo">
    <w:name w:val="Hyperlink"/>
    <w:basedOn w:val="Fuentedeprrafopredeter"/>
    <w:uiPriority w:val="99"/>
    <w:semiHidden/>
    <w:unhideWhenUsed/>
    <w:rsid w:val="007B31C6"/>
    <w:rPr>
      <w:color w:val="0000FF"/>
      <w:u w:val="single"/>
    </w:rPr>
  </w:style>
  <w:style w:type="character" w:styleId="Refdecomentario">
    <w:name w:val="annotation reference"/>
    <w:basedOn w:val="Fuentedeprrafopredeter"/>
    <w:uiPriority w:val="99"/>
    <w:semiHidden/>
    <w:unhideWhenUsed/>
    <w:rsid w:val="007B31C6"/>
    <w:rPr>
      <w:sz w:val="16"/>
      <w:szCs w:val="16"/>
    </w:rPr>
  </w:style>
  <w:style w:type="paragraph" w:styleId="Textocomentario">
    <w:name w:val="annotation text"/>
    <w:basedOn w:val="Normal"/>
    <w:link w:val="TextocomentarioCar"/>
    <w:uiPriority w:val="99"/>
    <w:semiHidden/>
    <w:unhideWhenUsed/>
    <w:rsid w:val="007B31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31C6"/>
    <w:rPr>
      <w:sz w:val="20"/>
      <w:szCs w:val="20"/>
    </w:rPr>
  </w:style>
  <w:style w:type="paragraph" w:styleId="Asuntodelcomentario">
    <w:name w:val="annotation subject"/>
    <w:basedOn w:val="Textocomentario"/>
    <w:next w:val="Textocomentario"/>
    <w:link w:val="AsuntodelcomentarioCar"/>
    <w:uiPriority w:val="99"/>
    <w:semiHidden/>
    <w:unhideWhenUsed/>
    <w:rsid w:val="007B31C6"/>
    <w:rPr>
      <w:b/>
      <w:bCs/>
    </w:rPr>
  </w:style>
  <w:style w:type="character" w:customStyle="1" w:styleId="AsuntodelcomentarioCar">
    <w:name w:val="Asunto del comentario Car"/>
    <w:basedOn w:val="TextocomentarioCar"/>
    <w:link w:val="Asuntodelcomentario"/>
    <w:uiPriority w:val="99"/>
    <w:semiHidden/>
    <w:rsid w:val="007B31C6"/>
    <w:rPr>
      <w:b/>
      <w:bCs/>
      <w:sz w:val="20"/>
      <w:szCs w:val="20"/>
    </w:rPr>
  </w:style>
  <w:style w:type="paragraph" w:styleId="Textodeglobo">
    <w:name w:val="Balloon Text"/>
    <w:basedOn w:val="Normal"/>
    <w:link w:val="TextodegloboCar"/>
    <w:uiPriority w:val="99"/>
    <w:semiHidden/>
    <w:unhideWhenUsed/>
    <w:rsid w:val="007B31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1C6"/>
    <w:rPr>
      <w:rFonts w:ascii="Segoe UI" w:hAnsi="Segoe UI" w:cs="Segoe UI"/>
      <w:sz w:val="18"/>
      <w:szCs w:val="18"/>
    </w:rPr>
  </w:style>
  <w:style w:type="table" w:styleId="Tablaconcuadrcula">
    <w:name w:val="Table Grid"/>
    <w:basedOn w:val="Tablanormal"/>
    <w:uiPriority w:val="39"/>
    <w:rsid w:val="0023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dgreports/---dcomm/---publ/documents/publication/wcms_59867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5445</Words>
  <Characters>29953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Francisco Niño Martinez</dc:creator>
  <cp:keywords/>
  <dc:description/>
  <cp:lastModifiedBy>Camila Alejandra Hoyos Torres</cp:lastModifiedBy>
  <cp:revision>2</cp:revision>
  <cp:lastPrinted>2019-07-23T14:41:00Z</cp:lastPrinted>
  <dcterms:created xsi:type="dcterms:W3CDTF">2019-07-23T16:35:00Z</dcterms:created>
  <dcterms:modified xsi:type="dcterms:W3CDTF">2019-07-23T16:35:00Z</dcterms:modified>
</cp:coreProperties>
</file>